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23E53BAD" w:rsidR="009A5197" w:rsidRPr="00B71885" w:rsidRDefault="007073F6" w:rsidP="00B71885">
      <w:pPr>
        <w:spacing w:line="720" w:lineRule="auto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Zarządzenia</w:t>
      </w:r>
      <w:r w:rsidR="00EE2FA4" w:rsidRPr="004827E0">
        <w:rPr>
          <w:rFonts w:asciiTheme="minorHAnsi" w:hAnsiTheme="minorHAnsi" w:cstheme="minorHAnsi"/>
        </w:rPr>
        <w:t xml:space="preserve"> </w:t>
      </w:r>
      <w:r w:rsidR="004827E0" w:rsidRPr="004827E0">
        <w:rPr>
          <w:rFonts w:asciiTheme="minorHAnsi" w:hAnsiTheme="minorHAnsi" w:cstheme="minorHAnsi"/>
        </w:rPr>
        <w:t xml:space="preserve">nr 44/2022 </w:t>
      </w:r>
      <w:r w:rsidR="00F91E49" w:rsidRPr="004827E0">
        <w:rPr>
          <w:rFonts w:asciiTheme="minorHAnsi" w:hAnsiTheme="minorHAnsi" w:cstheme="minorHAnsi"/>
        </w:rPr>
        <w:t xml:space="preserve">Rektora </w:t>
      </w:r>
      <w:r w:rsidR="00084D8E">
        <w:rPr>
          <w:rFonts w:asciiTheme="minorHAnsi" w:hAnsiTheme="minorHAnsi" w:cstheme="minorHAnsi"/>
        </w:rPr>
        <w:t xml:space="preserve">UMB </w:t>
      </w:r>
      <w:r w:rsidR="00C146FF" w:rsidRPr="004827E0">
        <w:rPr>
          <w:rFonts w:asciiTheme="minorHAnsi" w:hAnsiTheme="minorHAnsi" w:cstheme="minorHAnsi"/>
        </w:rPr>
        <w:t xml:space="preserve">z dnia </w:t>
      </w:r>
      <w:r w:rsidR="004827E0" w:rsidRPr="004827E0">
        <w:rPr>
          <w:rFonts w:asciiTheme="minorHAnsi" w:hAnsiTheme="minorHAnsi" w:cstheme="minorHAnsi"/>
        </w:rPr>
        <w:t>27.05</w:t>
      </w:r>
      <w:r w:rsidR="00F821EE" w:rsidRPr="004827E0">
        <w:rPr>
          <w:rFonts w:asciiTheme="minorHAnsi" w:hAnsiTheme="minorHAnsi" w:cstheme="minorHAnsi"/>
        </w:rPr>
        <w:t>.</w:t>
      </w:r>
      <w:r w:rsidR="00143890" w:rsidRPr="004827E0">
        <w:rPr>
          <w:rFonts w:asciiTheme="minorHAnsi" w:hAnsiTheme="minorHAnsi" w:cstheme="minorHAnsi"/>
        </w:rPr>
        <w:t>2022</w:t>
      </w:r>
      <w:r w:rsidR="00C146FF" w:rsidRPr="004827E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B71885" w:rsidRDefault="0066621D" w:rsidP="00B71885">
      <w:pPr>
        <w:pStyle w:val="Tytu"/>
        <w:jc w:val="left"/>
        <w:rPr>
          <w:sz w:val="32"/>
          <w:szCs w:val="32"/>
        </w:rPr>
      </w:pPr>
      <w:r w:rsidRPr="00B71885">
        <w:rPr>
          <w:sz w:val="32"/>
          <w:szCs w:val="32"/>
        </w:rPr>
        <w:t>R</w:t>
      </w:r>
      <w:bookmarkStart w:id="0" w:name="_GoBack"/>
      <w:bookmarkEnd w:id="0"/>
      <w:r w:rsidRPr="00B71885">
        <w:rPr>
          <w:sz w:val="32"/>
          <w:szCs w:val="32"/>
        </w:rPr>
        <w:t>EGULAMIN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ORGANIZACYJNY</w:t>
      </w:r>
      <w:r w:rsidR="00EE2FA4" w:rsidRPr="00B71885">
        <w:rPr>
          <w:sz w:val="32"/>
          <w:szCs w:val="32"/>
        </w:rPr>
        <w:t xml:space="preserve"> </w:t>
      </w:r>
      <w:r w:rsidR="00B71885">
        <w:rPr>
          <w:sz w:val="32"/>
          <w:szCs w:val="32"/>
        </w:rPr>
        <w:br/>
      </w:r>
      <w:r w:rsidR="000A297A" w:rsidRPr="00B71885">
        <w:rPr>
          <w:sz w:val="32"/>
          <w:szCs w:val="32"/>
        </w:rPr>
        <w:t>UNIWERSYTETU</w:t>
      </w:r>
      <w:r w:rsidR="00EE2FA4" w:rsidRPr="00B71885">
        <w:rPr>
          <w:sz w:val="32"/>
          <w:szCs w:val="32"/>
        </w:rPr>
        <w:t xml:space="preserve"> </w:t>
      </w:r>
      <w:r w:rsidR="000A297A" w:rsidRPr="00B71885">
        <w:rPr>
          <w:sz w:val="32"/>
          <w:szCs w:val="32"/>
        </w:rPr>
        <w:t>MEDYCZNEGO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W</w:t>
      </w:r>
      <w:r w:rsidR="00EE2FA4" w:rsidRPr="00B71885">
        <w:rPr>
          <w:sz w:val="32"/>
          <w:szCs w:val="32"/>
        </w:rPr>
        <w:t xml:space="preserve"> </w:t>
      </w:r>
      <w:r w:rsidRPr="00B71885">
        <w:rPr>
          <w:sz w:val="32"/>
          <w:szCs w:val="32"/>
        </w:rPr>
        <w:t>BIAŁYMSTOKU</w:t>
      </w:r>
    </w:p>
    <w:p w14:paraId="7FC6E3BA" w14:textId="09CCE6BB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B71885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827E0">
        <w:rPr>
          <w:rFonts w:asciiTheme="minorHAnsi" w:hAnsiTheme="minorHAnsi" w:cstheme="minorHAnsi"/>
          <w:b/>
          <w:sz w:val="32"/>
          <w:szCs w:val="32"/>
        </w:rPr>
        <w:t>27.</w:t>
      </w:r>
      <w:r w:rsidR="004827E0" w:rsidRPr="004827E0">
        <w:rPr>
          <w:rFonts w:asciiTheme="minorHAnsi" w:hAnsiTheme="minorHAnsi" w:cstheme="minorHAnsi"/>
          <w:b/>
          <w:sz w:val="32"/>
          <w:szCs w:val="32"/>
        </w:rPr>
        <w:t>05</w:t>
      </w:r>
      <w:r w:rsidR="00143890" w:rsidRPr="004827E0">
        <w:rPr>
          <w:rFonts w:asciiTheme="minorHAnsi" w:hAnsiTheme="minorHAnsi" w:cstheme="minorHAnsi"/>
          <w:b/>
          <w:sz w:val="32"/>
          <w:szCs w:val="32"/>
        </w:rPr>
        <w:t>.2022</w:t>
      </w:r>
      <w:r w:rsidR="00C146FF" w:rsidRPr="004827E0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4827E0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p w14:paraId="759634B8" w14:textId="2907ECA9" w:rsidR="004827E0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04553117" w:history="1">
        <w:r w:rsidR="004827E0" w:rsidRPr="006C0504">
          <w:rPr>
            <w:rStyle w:val="Hipercze"/>
            <w:noProof/>
          </w:rPr>
          <w:t>CZĘŚĆ I   STRUKTURA ORGANIZACYJNA UNIWERSYTETU MEDYCZNEGO</w:t>
        </w:r>
        <w:r w:rsidR="004827E0">
          <w:rPr>
            <w:noProof/>
            <w:webHidden/>
          </w:rPr>
          <w:tab/>
        </w:r>
        <w:r w:rsidR="004827E0">
          <w:rPr>
            <w:noProof/>
            <w:webHidden/>
          </w:rPr>
          <w:fldChar w:fldCharType="begin"/>
        </w:r>
        <w:r w:rsidR="004827E0">
          <w:rPr>
            <w:noProof/>
            <w:webHidden/>
          </w:rPr>
          <w:instrText xml:space="preserve"> PAGEREF _Toc104553117 \h </w:instrText>
        </w:r>
        <w:r w:rsidR="004827E0">
          <w:rPr>
            <w:noProof/>
            <w:webHidden/>
          </w:rPr>
        </w:r>
        <w:r w:rsidR="004827E0"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</w:t>
        </w:r>
        <w:r w:rsidR="004827E0">
          <w:rPr>
            <w:noProof/>
            <w:webHidden/>
          </w:rPr>
          <w:fldChar w:fldCharType="end"/>
        </w:r>
      </w:hyperlink>
    </w:p>
    <w:p w14:paraId="1E717EFE" w14:textId="02F9CF74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18" w:history="1">
        <w:r w:rsidRPr="006C0504">
          <w:rPr>
            <w:rStyle w:val="Hipercze"/>
            <w:noProof/>
          </w:rPr>
          <w:t>ROZDZIAŁ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218B67" w14:textId="2082CE72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19" w:history="1">
        <w:r w:rsidRPr="006C0504">
          <w:rPr>
            <w:rStyle w:val="Hipercze"/>
            <w:noProof/>
          </w:rPr>
          <w:t>ROZDZIAŁ II STRUKTURA ORGANIZACYJNA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ED9994" w14:textId="2F90B36D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20" w:history="1">
        <w:r w:rsidRPr="006C0504">
          <w:rPr>
            <w:rStyle w:val="Hipercze"/>
            <w:noProof/>
          </w:rPr>
          <w:t>ORGANY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298E39" w14:textId="02CE7FDD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21" w:history="1">
        <w:r w:rsidRPr="006C0504">
          <w:rPr>
            <w:rStyle w:val="Hipercze"/>
            <w:noProof/>
          </w:rPr>
          <w:t>ZADANIA PROREKTORÓW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41E7D0" w14:textId="31FBA008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22" w:history="1">
        <w:r w:rsidRPr="006C0504">
          <w:rPr>
            <w:rStyle w:val="Hipercze"/>
            <w:noProof/>
          </w:rPr>
          <w:t>ROZDZIAŁ III ORGANIZACJA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66FEDD" w14:textId="662FEA6A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23" w:history="1">
        <w:r w:rsidRPr="006C0504">
          <w:rPr>
            <w:rStyle w:val="Hipercze"/>
            <w:noProof/>
          </w:rPr>
          <w:t>RADA NAUKOWA, RADY KOLEGIÓW NAUKOWYCH I DZIEKANI KOLEGIÓW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4C3821" w14:textId="6BF8354D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24" w:history="1">
        <w:r w:rsidRPr="006C0504">
          <w:rPr>
            <w:rStyle w:val="Hipercze"/>
            <w:noProof/>
          </w:rPr>
          <w:t>WYDZIAŁY I DZIEKANI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122DA4" w14:textId="24715212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25" w:history="1">
        <w:r w:rsidRPr="006C0504">
          <w:rPr>
            <w:rStyle w:val="Hipercze"/>
            <w:noProof/>
          </w:rPr>
          <w:t>JEDNOSTKI OGÓLNOUCZELNIANE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6DDCBE" w14:textId="2DDF7488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26" w:history="1">
        <w:r w:rsidRPr="006C0504">
          <w:rPr>
            <w:rStyle w:val="Hipercze"/>
            <w:noProof/>
          </w:rPr>
          <w:t>CZĘŚĆ II  ADMINISTRACJA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0BA6201" w14:textId="6B2F4604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27" w:history="1">
        <w:r w:rsidRPr="006C0504">
          <w:rPr>
            <w:rStyle w:val="Hipercze"/>
            <w:noProof/>
          </w:rPr>
          <w:t>ROZDZIAŁ I TWORZENIE JEDNOSTEK ADMINISTRACYJNYCH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94E994E" w14:textId="3C538CE2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28" w:history="1">
        <w:r w:rsidRPr="006C0504">
          <w:rPr>
            <w:rStyle w:val="Hipercze"/>
            <w:noProof/>
          </w:rPr>
          <w:t>ROZDZIAŁ II ZASADY ORGANIZACJI PRACY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75C101D" w14:textId="68D586E7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29" w:history="1">
        <w:r w:rsidRPr="006C0504">
          <w:rPr>
            <w:rStyle w:val="Hipercze"/>
            <w:noProof/>
          </w:rPr>
          <w:t>ROZDZIAŁ III ZASTĘPOWANIE PRACOWNIKÓW NA KIEROWNICZYCH STANOWISKACH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1E30D03" w14:textId="7985DD05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30" w:history="1">
        <w:r w:rsidRPr="006C0504">
          <w:rPr>
            <w:rStyle w:val="Hipercze"/>
            <w:noProof/>
          </w:rPr>
          <w:t>ROZDZIAŁ IV PRZYJMOWANIE I ZDAWANIE FUNKCJI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E771C30" w14:textId="172C8078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31" w:history="1">
        <w:r w:rsidRPr="006C0504">
          <w:rPr>
            <w:rStyle w:val="Hipercze"/>
            <w:noProof/>
          </w:rPr>
          <w:t>ROZDZIAŁ V KONTROLA DZIAŁALNOŚCI ADMINISTRACJI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8106BA" w14:textId="0F7A38E5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32" w:history="1">
        <w:r w:rsidRPr="006C0504">
          <w:rPr>
            <w:rStyle w:val="Hipercze"/>
            <w:noProof/>
          </w:rPr>
          <w:t>CZĘŚĆ III   STRUKTURA ORGANIZACYJNA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2EBC445" w14:textId="22572451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33" w:history="1">
        <w:r w:rsidRPr="006C0504">
          <w:rPr>
            <w:rStyle w:val="Hipercze"/>
            <w:noProof/>
          </w:rPr>
          <w:t>ROZDZIAŁ I KOMPETENCJE REKTORA W ZAKRESIE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9D55578" w14:textId="4FB85AE2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34" w:history="1">
        <w:r w:rsidRPr="006C0504">
          <w:rPr>
            <w:rStyle w:val="Hipercze"/>
            <w:noProof/>
          </w:rPr>
          <w:t>ROZDZIAŁ II KANCLERZ, ZASTĘPCY KANCLERZA ORAZ KIEROWNICY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83CC499" w14:textId="45ABCFE2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35" w:history="1">
        <w:r w:rsidRPr="006C0504">
          <w:rPr>
            <w:rStyle w:val="Hipercze"/>
            <w:noProof/>
          </w:rPr>
          <w:t>KANCLERZ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E4ED98E" w14:textId="65EC7E27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36" w:history="1">
        <w:r w:rsidRPr="006C0504">
          <w:rPr>
            <w:rStyle w:val="Hipercze"/>
            <w:noProof/>
          </w:rPr>
          <w:t>ZASTĘPCA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1FCEA5C" w14:textId="5D3185C5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37" w:history="1">
        <w:r w:rsidRPr="006C0504">
          <w:rPr>
            <w:rStyle w:val="Hipercze"/>
            <w:noProof/>
          </w:rPr>
          <w:t>ZASTĘPCA KANCLERZA DS. FINANSOWYCH – KWESTOR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EB7BA17" w14:textId="3D1CEFE1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38" w:history="1">
        <w:r w:rsidRPr="006C0504">
          <w:rPr>
            <w:rStyle w:val="Hipercze"/>
            <w:noProof/>
          </w:rPr>
          <w:t>ZAKRES OBOWIĄZKÓW, UPRAWNIEŃ I ODPOWIEDZIALNOŚCI KIEROWNIKÓW JEDNOSTEK ORGANIZACYJNYCH ADMINISTRACJI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96AE910" w14:textId="0E6ACBAE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39" w:history="1">
        <w:r w:rsidRPr="006C0504">
          <w:rPr>
            <w:rStyle w:val="Hipercze"/>
            <w:noProof/>
          </w:rPr>
          <w:t>CZĘŚĆ IV RAMOWE ZAKRESY DZIAŁANIA JEDNOSTEK ORGANIZACYJNYCH ADMINISTRACJI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57BC316" w14:textId="5B789EA8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40" w:history="1">
        <w:r w:rsidRPr="006C0504">
          <w:rPr>
            <w:rStyle w:val="Hipercze"/>
            <w:noProof/>
          </w:rPr>
          <w:t>ROZDZIAŁ I PION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7F7E647" w14:textId="5DF47068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1" w:history="1">
        <w:r w:rsidRPr="006C0504">
          <w:rPr>
            <w:rStyle w:val="Hipercze"/>
            <w:noProof/>
          </w:rPr>
          <w:t>RADCA PRAWNY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C4A0FFB" w14:textId="7935A0EE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2" w:history="1">
        <w:r w:rsidRPr="006C0504">
          <w:rPr>
            <w:rStyle w:val="Hipercze"/>
            <w:noProof/>
          </w:rPr>
          <w:t>BIURO AUDYTU WEWNĘTRZNEGO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053D006" w14:textId="55E63D8A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3" w:history="1">
        <w:r w:rsidRPr="006C0504">
          <w:rPr>
            <w:rStyle w:val="Hipercze"/>
            <w:noProof/>
          </w:rPr>
          <w:t>SPECJALISTA DS. OBRONNYCH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A6046BB" w14:textId="630A91AB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4" w:history="1">
        <w:r w:rsidRPr="006C0504">
          <w:rPr>
            <w:rStyle w:val="Hipercze"/>
            <w:noProof/>
          </w:rPr>
          <w:t>INSPEKTORAT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A863185" w14:textId="6DA2BB3A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5" w:history="1">
        <w:r w:rsidRPr="006C0504">
          <w:rPr>
            <w:rStyle w:val="Hipercze"/>
            <w:noProof/>
          </w:rPr>
          <w:t>SPECJALISTA DS. PRZECIWPOŻAROWYCH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926C75C" w14:textId="651B9151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6" w:history="1">
        <w:r w:rsidRPr="006C0504">
          <w:rPr>
            <w:rStyle w:val="Hipercze"/>
            <w:noProof/>
          </w:rPr>
          <w:t>PEŁNOMOCNIK DS. OCHRONY INFORMACJI NIEJAWNYCH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FBADAA2" w14:textId="1775C155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7" w:history="1">
        <w:r w:rsidRPr="006C0504">
          <w:rPr>
            <w:rStyle w:val="Hipercze"/>
            <w:noProof/>
          </w:rPr>
          <w:t>INSPEKTOR OCHRONY DANYCH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E6233E5" w14:textId="133775C0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48" w:history="1">
        <w:r w:rsidRPr="006C0504">
          <w:rPr>
            <w:rStyle w:val="Hipercze"/>
            <w:noProof/>
          </w:rPr>
          <w:t>RZECZNIK PRASOWY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86DB721" w14:textId="77C2A9CE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49" w:history="1">
        <w:r w:rsidRPr="006C0504">
          <w:rPr>
            <w:rStyle w:val="Hipercze"/>
            <w:noProof/>
          </w:rPr>
          <w:t>ROZDZIAŁ II PION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41725C8" w14:textId="4ED17220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0" w:history="1">
        <w:r w:rsidRPr="006C0504">
          <w:rPr>
            <w:rStyle w:val="Hipercze"/>
            <w:noProof/>
          </w:rPr>
          <w:t>DZIAŁ SPRAW PRACOWNICZYCH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7115DB9" w14:textId="22937A89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1" w:history="1">
        <w:r w:rsidRPr="006C0504">
          <w:rPr>
            <w:rStyle w:val="Hipercze"/>
            <w:noProof/>
          </w:rPr>
          <w:t>BIURO 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045439F" w14:textId="72BEB06F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2" w:history="1">
        <w:r w:rsidRPr="006C0504">
          <w:rPr>
            <w:rStyle w:val="Hipercze"/>
            <w:noProof/>
          </w:rPr>
          <w:t>DZIAŁ DS. KLINICZNYCH I SZKOLENIA ZAWODOWEGO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6C3FF430" w14:textId="09292759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3" w:history="1">
        <w:r w:rsidRPr="006C0504">
          <w:rPr>
            <w:rStyle w:val="Hipercze"/>
            <w:noProof/>
          </w:rPr>
          <w:t>DZIAŁ NAUKI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C87D5F0" w14:textId="7C9BE02C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4" w:history="1">
        <w:r w:rsidRPr="006C0504">
          <w:rPr>
            <w:rStyle w:val="Hipercze"/>
            <w:noProof/>
          </w:rPr>
          <w:t>DZIAŁ ROZWOJU I EWALUACJI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22745CF" w14:textId="61072354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5" w:history="1">
        <w:r w:rsidRPr="006C0504">
          <w:rPr>
            <w:rStyle w:val="Hipercze"/>
            <w:noProof/>
          </w:rPr>
          <w:t>BIURO TRANSFERU TECHNOLOGII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7ADE626" w14:textId="4CB13C7B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6" w:history="1">
        <w:r w:rsidRPr="006C0504">
          <w:rPr>
            <w:rStyle w:val="Hipercze"/>
            <w:noProof/>
          </w:rPr>
          <w:t>DZIAŁ SPRAW STUDENCKICH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5631260" w14:textId="6E51ADF8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7" w:history="1">
        <w:r w:rsidRPr="006C0504">
          <w:rPr>
            <w:rStyle w:val="Hipercze"/>
            <w:noProof/>
          </w:rPr>
          <w:t>SEKCJA DS. PLANOWANIA I ROZLICZANIA OBCIĄŻEŃ DYDAKTYCZNYCH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4C4CD28" w14:textId="6C618C9D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8" w:history="1">
        <w:r w:rsidRPr="006C0504">
          <w:rPr>
            <w:rStyle w:val="Hipercze"/>
            <w:noProof/>
          </w:rPr>
          <w:t>DZIAŁ NOWOCZESNYCH METOD I TECHNIK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CFF6108" w14:textId="70CE7591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59" w:history="1">
        <w:r w:rsidRPr="006C0504">
          <w:rPr>
            <w:rStyle w:val="Hipercze"/>
            <w:noProof/>
          </w:rPr>
          <w:t>DOMY STUDENTA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C3A4028" w14:textId="66E603DD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0" w:history="1">
        <w:r w:rsidRPr="006C0504">
          <w:rPr>
            <w:rStyle w:val="Hipercze"/>
            <w:noProof/>
          </w:rPr>
          <w:t>BIURO KARIER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1BC069D" w14:textId="28F9070B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1" w:history="1">
        <w:r w:rsidRPr="006C0504">
          <w:rPr>
            <w:rStyle w:val="Hipercze"/>
            <w:noProof/>
          </w:rPr>
          <w:t>DZIEKANATY WYDZIAŁÓW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55684D6" w14:textId="536177E8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2" w:history="1">
        <w:r w:rsidRPr="006C0504">
          <w:rPr>
            <w:rStyle w:val="Hipercze"/>
            <w:noProof/>
          </w:rPr>
          <w:t>BIURO SZKOŁY DOKTORSKIEJ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3332CA61" w14:textId="4438B4A8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3" w:history="1">
        <w:r w:rsidRPr="006C0504">
          <w:rPr>
            <w:rStyle w:val="Hipercze"/>
            <w:noProof/>
          </w:rPr>
          <w:t>DZIAŁ ZAMÓWIEŃ PUBLICZNYCH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E8AAD66" w14:textId="544C15B4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4" w:history="1">
        <w:r w:rsidRPr="006C0504">
          <w:rPr>
            <w:rStyle w:val="Hipercze"/>
            <w:noProof/>
          </w:rPr>
          <w:t>DZIAŁ ADMINISTRACYJNO-GOSPODARCZY I USŁUG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92B0ACD" w14:textId="68BDC5DC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5" w:history="1">
        <w:r w:rsidRPr="006C0504">
          <w:rPr>
            <w:rStyle w:val="Hipercze"/>
            <w:noProof/>
          </w:rPr>
          <w:t>DZIAŁ INFORMATYKI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34A5821" w14:textId="1FDD241C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6" w:history="1">
        <w:r w:rsidRPr="006C0504">
          <w:rPr>
            <w:rStyle w:val="Hipercze"/>
            <w:noProof/>
          </w:rPr>
          <w:t>DZIAŁ PROJEKTÓW POMOCOWYCH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623B4EB" w14:textId="19508664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7" w:history="1">
        <w:r w:rsidRPr="006C0504">
          <w:rPr>
            <w:rStyle w:val="Hipercze"/>
            <w:noProof/>
          </w:rPr>
          <w:t>BIURO KANCLERZA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62E0676C" w14:textId="5CE2D5F1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8" w:history="1">
        <w:r w:rsidRPr="006C0504">
          <w:rPr>
            <w:rStyle w:val="Hipercze"/>
            <w:noProof/>
          </w:rPr>
          <w:t>DZIAŁ WSPÓŁPRACY MIĘDZYNARODOWEJ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55EC8215" w14:textId="126DD48B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69" w:history="1">
        <w:r w:rsidRPr="006C0504">
          <w:rPr>
            <w:rStyle w:val="Hipercze"/>
            <w:noProof/>
          </w:rPr>
          <w:t>DZIAŁ ORGANIZACJI I KONTROLI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6D475663" w14:textId="2CF560EE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0" w:history="1">
        <w:r w:rsidRPr="006C0504">
          <w:rPr>
            <w:rStyle w:val="Hipercze"/>
            <w:noProof/>
          </w:rPr>
          <w:t>BIURO PROMOCJI I REKRUTACJI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4CA1058" w14:textId="3F7A81F4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1" w:history="1">
        <w:r w:rsidRPr="006C0504">
          <w:rPr>
            <w:rStyle w:val="Hipercze"/>
            <w:noProof/>
          </w:rPr>
          <w:t>SEKCJA DS. ZINTEGROWANEGO SYSTEMU ZARZĄDZANIA UCZELNIĄ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36E1EDE4" w14:textId="57F07A3A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2" w:history="1">
        <w:r w:rsidRPr="006C0504">
          <w:rPr>
            <w:rStyle w:val="Hipercze"/>
            <w:noProof/>
          </w:rPr>
          <w:t>INNE JEDNOSTKI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14700937" w14:textId="4257B1AF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73" w:history="1">
        <w:r w:rsidRPr="006C0504">
          <w:rPr>
            <w:rStyle w:val="Hipercze"/>
            <w:noProof/>
          </w:rPr>
          <w:t>ROZDZIAŁ III PION ZASTĘPCY KANCLERZA DS.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291E3E1A" w14:textId="29BE67A3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4" w:history="1">
        <w:r w:rsidRPr="006C0504">
          <w:rPr>
            <w:rStyle w:val="Hipercze"/>
            <w:noProof/>
          </w:rPr>
          <w:t>DZIAŁ INWESTYCJI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08412AFD" w14:textId="2F325157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5" w:history="1">
        <w:r w:rsidRPr="006C0504">
          <w:rPr>
            <w:rStyle w:val="Hipercze"/>
            <w:noProof/>
          </w:rPr>
          <w:t>DZIAŁ KONSERWACJI I EKSPLOATACJI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471AE096" w14:textId="6CF6690F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6" w:history="1">
        <w:r w:rsidRPr="006C0504">
          <w:rPr>
            <w:rStyle w:val="Hipercze"/>
            <w:noProof/>
          </w:rPr>
          <w:t>DZIAŁ ZAOPATRZENIA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D26A891" w14:textId="029151CC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77" w:history="1">
        <w:r w:rsidRPr="006C0504">
          <w:rPr>
            <w:rStyle w:val="Hipercze"/>
            <w:noProof/>
          </w:rPr>
          <w:t>ROZDZIAŁ IV PION ZASTĘPCY KANCLERZA DS. FINANSOWYCH -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7F1DA6DA" w14:textId="2097A656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8" w:history="1">
        <w:r w:rsidRPr="006C0504">
          <w:rPr>
            <w:rStyle w:val="Hipercze"/>
            <w:noProof/>
          </w:rPr>
          <w:t>KWESTURA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2F96F3DB" w14:textId="266E377C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79" w:history="1">
        <w:r w:rsidRPr="006C0504">
          <w:rPr>
            <w:rStyle w:val="Hipercze"/>
            <w:noProof/>
          </w:rPr>
          <w:t>ZASTĘPCA KWESTORA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4D15D95F" w14:textId="2F15B48F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80" w:history="1">
        <w:r w:rsidRPr="006C0504">
          <w:rPr>
            <w:rStyle w:val="Hipercze"/>
            <w:noProof/>
          </w:rPr>
          <w:t>SEKCJA KOSZTÓW I ANALIZ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5A40EFEC" w14:textId="554B4ABF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81" w:history="1">
        <w:r w:rsidRPr="006C0504">
          <w:rPr>
            <w:rStyle w:val="Hipercze"/>
            <w:noProof/>
          </w:rPr>
          <w:t>SEKCJA ROZLICZEŃ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841057B" w14:textId="65E405D8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82" w:history="1">
        <w:r w:rsidRPr="006C0504">
          <w:rPr>
            <w:rStyle w:val="Hipercze"/>
            <w:noProof/>
          </w:rPr>
          <w:t>SEKCJA INWENTARYZACJI I EWIDENCJI MAJĄTKU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417C03DE" w14:textId="442A2663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83" w:history="1">
        <w:r w:rsidRPr="006C0504">
          <w:rPr>
            <w:rStyle w:val="Hipercze"/>
            <w:noProof/>
          </w:rPr>
          <w:t>DZIAŁ FINANSOWO-KSIĘGOWY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4DAD40BA" w14:textId="0E6E0D19" w:rsidR="004827E0" w:rsidRDefault="004827E0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04553184" w:history="1">
        <w:r w:rsidRPr="006C0504">
          <w:rPr>
            <w:rStyle w:val="Hipercze"/>
            <w:noProof/>
          </w:rPr>
          <w:t>DZIAŁ PŁAC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0A98FAB0" w14:textId="262BB417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85" w:history="1">
        <w:r w:rsidRPr="006C0504">
          <w:rPr>
            <w:rStyle w:val="Hipercze"/>
            <w:noProof/>
          </w:rPr>
          <w:t>CZĘŚĆ V KONTROLA ZARZĄDCZA UCZELNI I SPRAWOZDAWCZOŚĆ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29D5E09F" w14:textId="6273CBBB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86" w:history="1">
        <w:r w:rsidRPr="006C0504">
          <w:rPr>
            <w:rStyle w:val="Hipercze"/>
            <w:noProof/>
          </w:rPr>
          <w:t>CZĘŚĆ  VI WYDAWANIE WEWNĘTRZNYCH AKTÓW NORMATYWNYCH   I UDZIELANIE PEŁNOMOCNICTW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D16ED76" w14:textId="4DEEA9AA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87" w:history="1">
        <w:r w:rsidRPr="006C0504">
          <w:rPr>
            <w:rStyle w:val="Hipercze"/>
            <w:noProof/>
          </w:rPr>
          <w:t>ROZDZIAŁ I WYDAWANIE WEWNĘTRZNYCH AKTÓW NORMATYWNYCH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43A07619" w14:textId="21C0604F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88" w:history="1">
        <w:r w:rsidRPr="006C0504">
          <w:rPr>
            <w:rStyle w:val="Hipercze"/>
            <w:noProof/>
          </w:rPr>
          <w:t>ROZDZIAŁ II UDZIELANIE PEŁNOMOCNICTW I UPOWAŻNIEŃ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DDF79B1" w14:textId="41507065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89" w:history="1">
        <w:r w:rsidRPr="006C0504">
          <w:rPr>
            <w:rStyle w:val="Hipercze"/>
            <w:noProof/>
          </w:rPr>
          <w:t>CZĘŚĆ  VIII  PODPISYWANIE PISM, ZAWIERANIE UMÓW 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014C68A0" w14:textId="56E7AAF0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90" w:history="1">
        <w:r w:rsidRPr="006C0504">
          <w:rPr>
            <w:rStyle w:val="Hipercze"/>
            <w:noProof/>
          </w:rPr>
          <w:t>ROZDZIAŁ I PODPISYWANIE PISM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6B567633" w14:textId="5860E0BE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91" w:history="1">
        <w:r w:rsidRPr="006C0504">
          <w:rPr>
            <w:rStyle w:val="Hipercze"/>
            <w:noProof/>
          </w:rPr>
          <w:t>ROZDZIAŁ II ZAWIERANIE UMÓW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F016595" w14:textId="28CBEBEB" w:rsidR="004827E0" w:rsidRDefault="004827E0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04553192" w:history="1">
        <w:r w:rsidRPr="006C0504">
          <w:rPr>
            <w:rStyle w:val="Hipercze"/>
            <w:noProof/>
          </w:rPr>
          <w:t>ROZDZIAŁ III ARCHIWIZOWANIE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23A2EF74" w14:textId="0635EA1B" w:rsidR="004827E0" w:rsidRDefault="004827E0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553193" w:history="1">
        <w:r w:rsidRPr="006C0504">
          <w:rPr>
            <w:rStyle w:val="Hipercze"/>
            <w:noProof/>
          </w:rPr>
          <w:t>CZĘŚĆ VIII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_Toc104553193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D8E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32771DB9" w14:textId="67C46CFE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1" w:name="_Toc57798156"/>
      <w:bookmarkStart w:id="2" w:name="_Toc104553117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1"/>
      <w:bookmarkEnd w:id="2"/>
    </w:p>
    <w:p w14:paraId="62EF6C1F" w14:textId="77777777" w:rsidR="009A2DDD" w:rsidRPr="00B71885" w:rsidRDefault="009A2DDD" w:rsidP="00904B5C">
      <w:pPr>
        <w:pStyle w:val="Nagwek2"/>
      </w:pPr>
      <w:bookmarkStart w:id="3" w:name="_Toc57798157"/>
      <w:bookmarkStart w:id="4" w:name="_Toc104553118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3"/>
      <w:bookmarkEnd w:id="4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5" w:name="_Toc57798158"/>
      <w:bookmarkStart w:id="6" w:name="_Toc104553119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5"/>
      <w:bookmarkEnd w:id="6"/>
    </w:p>
    <w:p w14:paraId="16D3E04A" w14:textId="1708651C" w:rsidR="00CC5AEF" w:rsidRPr="00B71885" w:rsidRDefault="00CC5AEF" w:rsidP="00904B5C">
      <w:pPr>
        <w:pStyle w:val="Nagwek3"/>
      </w:pPr>
      <w:bookmarkStart w:id="7" w:name="_Toc57798159"/>
      <w:bookmarkStart w:id="8" w:name="_Toc104553120"/>
      <w:r w:rsidRPr="00B71885">
        <w:t>ORGANY UCZELNI</w:t>
      </w:r>
      <w:bookmarkEnd w:id="7"/>
      <w:bookmarkEnd w:id="8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9" w:name="_Toc57798160"/>
      <w:bookmarkStart w:id="10" w:name="_Toc104553121"/>
      <w:r w:rsidRPr="00B71885">
        <w:t>ZADANIA PROREKTORÓW</w:t>
      </w:r>
      <w:bookmarkEnd w:id="9"/>
      <w:bookmarkEnd w:id="10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B71885">
      <w:pPr>
        <w:pStyle w:val="Mj"/>
        <w:numPr>
          <w:ilvl w:val="0"/>
          <w:numId w:val="80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1" w:name="_Toc57798161"/>
      <w:bookmarkStart w:id="12" w:name="_Toc1383121"/>
      <w:bookmarkStart w:id="13" w:name="_Toc104553122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1"/>
      <w:bookmarkEnd w:id="13"/>
    </w:p>
    <w:p w14:paraId="017E2553" w14:textId="77777777" w:rsidR="003F1336" w:rsidRPr="00B71885" w:rsidRDefault="003F1336" w:rsidP="00904B5C">
      <w:pPr>
        <w:pStyle w:val="Nagwek3"/>
      </w:pPr>
      <w:bookmarkStart w:id="14" w:name="_Toc57798162"/>
      <w:bookmarkStart w:id="15" w:name="_Toc104553123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4"/>
      <w:bookmarkEnd w:id="15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B71885">
      <w:pPr>
        <w:pStyle w:val="Akapitzlist"/>
        <w:numPr>
          <w:ilvl w:val="0"/>
          <w:numId w:val="82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B71885">
      <w:pPr>
        <w:pStyle w:val="Akapitzlist"/>
        <w:numPr>
          <w:ilvl w:val="6"/>
          <w:numId w:val="67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6" w:name="_Toc57798163"/>
      <w:bookmarkStart w:id="17" w:name="_Toc104553124"/>
      <w:bookmarkEnd w:id="12"/>
      <w:r w:rsidRPr="00B71885">
        <w:t>WYDZIAŁY</w:t>
      </w:r>
      <w:r w:rsidR="00C5635C" w:rsidRPr="00B71885">
        <w:t xml:space="preserve"> I DZIEKANI WYDZIAŁÓW</w:t>
      </w:r>
      <w:bookmarkEnd w:id="16"/>
      <w:bookmarkEnd w:id="17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B71885">
        <w:rPr>
          <w:rFonts w:asciiTheme="minorHAnsi" w:hAnsiTheme="minorHAnsi" w:cstheme="minorHAnsi"/>
          <w:color w:val="FF0000"/>
        </w:rPr>
        <w:t xml:space="preserve">,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777777" w:rsidR="0055476C" w:rsidRPr="00B71885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4686E6E1" w14:textId="40618770" w:rsidR="00276243" w:rsidRPr="00B71885" w:rsidRDefault="00276243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B71885">
      <w:pPr>
        <w:numPr>
          <w:ilvl w:val="5"/>
          <w:numId w:val="66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8" w:name="_Toc307224042"/>
      <w:bookmarkStart w:id="19" w:name="_Toc319307986"/>
      <w:bookmarkStart w:id="20" w:name="_Toc319497560"/>
      <w:bookmarkStart w:id="21" w:name="_Toc7097203"/>
      <w:r w:rsidRPr="00B71885">
        <w:t>DZIEKAN</w:t>
      </w:r>
      <w:bookmarkEnd w:id="18"/>
      <w:bookmarkEnd w:id="19"/>
      <w:bookmarkEnd w:id="20"/>
      <w:r w:rsidRPr="00B71885">
        <w:t xml:space="preserve"> WYDZIAŁU</w:t>
      </w:r>
      <w:bookmarkEnd w:id="21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B71885">
      <w:pPr>
        <w:numPr>
          <w:ilvl w:val="0"/>
          <w:numId w:val="106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2" w:name="_Toc57798164"/>
      <w:bookmarkStart w:id="23" w:name="_Toc104553125"/>
      <w:r w:rsidRPr="00B71885">
        <w:t>JEDNOSTKI OGÓLNOUCZELNIANE</w:t>
      </w:r>
      <w:bookmarkEnd w:id="22"/>
      <w:bookmarkEnd w:id="23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4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4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B71885">
      <w:pPr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B71885">
      <w:pPr>
        <w:pStyle w:val="Akapitzlist"/>
        <w:numPr>
          <w:ilvl w:val="0"/>
          <w:numId w:val="68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B71885">
      <w:pPr>
        <w:pStyle w:val="Akapitzlist"/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CF7447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odpowiedni dobór, gromadzenie, fachowe opracowanie zbiorów bibliotecznych, </w:t>
      </w:r>
    </w:p>
    <w:p w14:paraId="568F9D92" w14:textId="19C716C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B71885">
      <w:pPr>
        <w:numPr>
          <w:ilvl w:val="0"/>
          <w:numId w:val="69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B71885">
      <w:pPr>
        <w:pStyle w:val="Akapitzlist"/>
        <w:numPr>
          <w:ilvl w:val="2"/>
          <w:numId w:val="69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Do podstawowych zadań Archiwum należy:</w:t>
      </w:r>
    </w:p>
    <w:p w14:paraId="0518D97F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B71885">
      <w:pPr>
        <w:numPr>
          <w:ilvl w:val="2"/>
          <w:numId w:val="69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71885">
        <w:rPr>
          <w:rFonts w:asciiTheme="minorHAnsi" w:hAnsiTheme="minorHAnsi" w:cstheme="minorHAnsi"/>
        </w:rPr>
        <w:t>biobanków</w:t>
      </w:r>
      <w:proofErr w:type="spellEnd"/>
      <w:r w:rsidR="00FE51CF" w:rsidRPr="00B71885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B71885">
      <w:pPr>
        <w:numPr>
          <w:ilvl w:val="0"/>
          <w:numId w:val="7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71885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71885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pozawerbalna z pacjentem i jego rodziną).</w:t>
      </w:r>
    </w:p>
    <w:p w14:paraId="5EA7B90B" w14:textId="31C78A70" w:rsidR="00DF4169" w:rsidRPr="00B71885" w:rsidRDefault="00D46D0A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B71885">
      <w:pPr>
        <w:numPr>
          <w:ilvl w:val="5"/>
          <w:numId w:val="69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DA52D3" w:rsidRPr="00CF744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>,</w:t>
      </w:r>
    </w:p>
    <w:p w14:paraId="465EF31F" w14:textId="1AEA3C25" w:rsidR="00516A99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71885" w:rsidRDefault="00293056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B71885">
      <w:pPr>
        <w:pStyle w:val="Akapitzlist"/>
        <w:numPr>
          <w:ilvl w:val="6"/>
          <w:numId w:val="108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B71885">
      <w:pPr>
        <w:pStyle w:val="Akapitzlist"/>
        <w:numPr>
          <w:ilvl w:val="6"/>
          <w:numId w:val="10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B71885">
      <w:pPr>
        <w:pStyle w:val="Akapitzlist"/>
        <w:numPr>
          <w:ilvl w:val="0"/>
          <w:numId w:val="107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oryginalnych formatów baz w oparciu o unikalne dane medyczne i </w:t>
      </w:r>
      <w:proofErr w:type="spellStart"/>
      <w:r w:rsidRPr="00B71885">
        <w:rPr>
          <w:rFonts w:asciiTheme="minorHAnsi" w:eastAsia="MS Mincho" w:hAnsiTheme="minorHAnsi" w:cstheme="minorHAnsi"/>
        </w:rPr>
        <w:t>omiczne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start </w:t>
      </w:r>
      <w:proofErr w:type="spellStart"/>
      <w:r w:rsidRPr="00B71885">
        <w:rPr>
          <w:rFonts w:asciiTheme="minorHAnsi" w:eastAsia="MS Mincho" w:hAnsiTheme="minorHAnsi" w:cstheme="minorHAnsi"/>
        </w:rPr>
        <w:t>up</w:t>
      </w:r>
      <w:proofErr w:type="spellEnd"/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algorytmów terapii spersonalizowanej (medycyny wysokiej jakości, HD </w:t>
      </w:r>
      <w:proofErr w:type="spellStart"/>
      <w:r w:rsidRPr="00B71885">
        <w:rPr>
          <w:rFonts w:asciiTheme="minorHAnsi" w:eastAsia="MS Mincho" w:hAnsiTheme="minorHAnsi" w:cstheme="minorHAnsi"/>
        </w:rPr>
        <w:t>medicine</w:t>
      </w:r>
      <w:proofErr w:type="spellEnd"/>
      <w:r w:rsidRPr="00B71885">
        <w:rPr>
          <w:rFonts w:asciiTheme="minorHAnsi" w:eastAsia="MS Mincho" w:hAnsiTheme="minorHAnsi" w:cstheme="minorHAnsi"/>
        </w:rPr>
        <w:t>),</w:t>
      </w:r>
    </w:p>
    <w:p w14:paraId="0A56349E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technologii </w:t>
      </w:r>
      <w:proofErr w:type="spellStart"/>
      <w:r w:rsidRPr="00B71885">
        <w:rPr>
          <w:rFonts w:asciiTheme="minorHAnsi" w:eastAsia="MS Mincho" w:hAnsiTheme="minorHAnsi" w:cstheme="minorHAnsi"/>
        </w:rPr>
        <w:t>blockchain</w:t>
      </w:r>
      <w:proofErr w:type="spellEnd"/>
      <w:r w:rsidRPr="00B71885">
        <w:rPr>
          <w:rFonts w:asciiTheme="minorHAnsi" w:eastAsia="MS Mincho" w:hAnsiTheme="minorHAnsi" w:cstheme="minorHAnsi"/>
        </w:rPr>
        <w:t xml:space="preserve">/smart </w:t>
      </w:r>
      <w:proofErr w:type="spellStart"/>
      <w:r w:rsidRPr="00B71885">
        <w:rPr>
          <w:rFonts w:asciiTheme="minorHAnsi" w:eastAsia="MS Mincho" w:hAnsiTheme="minorHAnsi" w:cstheme="minorHAnsi"/>
        </w:rPr>
        <w:t>application</w:t>
      </w:r>
      <w:proofErr w:type="spellEnd"/>
      <w:r w:rsidRPr="00B71885">
        <w:rPr>
          <w:rFonts w:asciiTheme="minorHAnsi" w:eastAsia="MS Mincho" w:hAnsiTheme="minorHAnsi" w:cstheme="minorHAnsi"/>
        </w:rPr>
        <w:t xml:space="preserve"> do bieżącego uaktualniania aktywności medycznej i życiowej pacjentów,</w:t>
      </w:r>
    </w:p>
    <w:p w14:paraId="282D3E9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generowanie i przetwarzanie danych </w:t>
      </w:r>
      <w:proofErr w:type="spellStart"/>
      <w:r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 xml:space="preserve">m.in.: </w:t>
      </w:r>
      <w:proofErr w:type="spellStart"/>
      <w:r w:rsidR="00E24406" w:rsidRPr="00B71885">
        <w:rPr>
          <w:rFonts w:asciiTheme="minorHAnsi" w:eastAsia="MS Mincho" w:hAnsiTheme="minorHAnsi" w:cstheme="minorHAnsi"/>
        </w:rPr>
        <w:t>genomicznych</w:t>
      </w:r>
      <w:proofErr w:type="spellEnd"/>
      <w:r w:rsidR="00E24406" w:rsidRPr="00B71885">
        <w:rPr>
          <w:rFonts w:asciiTheme="minorHAnsi" w:eastAsia="MS Mincho" w:hAnsiTheme="minorHAnsi" w:cstheme="minorHAnsi"/>
        </w:rPr>
        <w:t>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proofErr w:type="spellStart"/>
      <w:r w:rsidRPr="00B71885">
        <w:rPr>
          <w:rFonts w:asciiTheme="minorHAnsi" w:eastAsia="MS Mincho" w:hAnsiTheme="minorHAnsi" w:cstheme="minorHAnsi"/>
        </w:rPr>
        <w:t>transkryptomicznych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epigenomicznych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proteomicznych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metabolomicznych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proofErr w:type="spellEnd"/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B71885">
      <w:pPr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proofErr w:type="spellStart"/>
      <w:r w:rsidRPr="00B71885">
        <w:rPr>
          <w:rFonts w:asciiTheme="minorHAnsi" w:eastAsia="MS Mincho" w:hAnsiTheme="minorHAnsi" w:cstheme="minorHAnsi"/>
        </w:rPr>
        <w:t>biobankowania</w:t>
      </w:r>
      <w:proofErr w:type="spellEnd"/>
      <w:r w:rsidRPr="00B71885">
        <w:rPr>
          <w:rFonts w:asciiTheme="minorHAnsi" w:eastAsia="MS Mincho" w:hAnsiTheme="minorHAnsi" w:cstheme="minorHAnsi"/>
        </w:rPr>
        <w:t xml:space="preserve"> i onkologii spersonalizowanej,</w:t>
      </w:r>
    </w:p>
    <w:p w14:paraId="2C744305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B71885">
      <w:pPr>
        <w:pStyle w:val="Akapitzlist"/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B71885">
      <w:pPr>
        <w:pStyle w:val="Akapitzlist"/>
        <w:numPr>
          <w:ilvl w:val="3"/>
          <w:numId w:val="130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3E52407F" w:rsidR="005D6253" w:rsidRPr="00B71885" w:rsidRDefault="005D6253" w:rsidP="00B71885">
      <w:pPr>
        <w:pStyle w:val="Akapitzlist"/>
        <w:numPr>
          <w:ilvl w:val="0"/>
          <w:numId w:val="108"/>
        </w:numPr>
        <w:spacing w:after="0"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20249AB5" w14:textId="1AB619CC" w:rsidR="00E264A5" w:rsidRPr="00F821EE" w:rsidRDefault="00E264A5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B71885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26EC0D3E" w14:textId="0CA317F8" w:rsidR="009A2DDD" w:rsidRPr="00B71885" w:rsidRDefault="009A2DDD" w:rsidP="00B71885">
      <w:pPr>
        <w:pStyle w:val="Nagwek1"/>
      </w:pPr>
      <w:bookmarkStart w:id="25" w:name="_Toc57798165"/>
      <w:bookmarkStart w:id="26" w:name="_Toc104553126"/>
      <w:r w:rsidRPr="00B71885"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5"/>
      <w:bookmarkEnd w:id="26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7" w:name="_Toc57798166"/>
      <w:bookmarkStart w:id="28" w:name="_Toc104553127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7"/>
      <w:bookmarkEnd w:id="28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9" w:name="_Toc57798167"/>
      <w:bookmarkStart w:id="30" w:name="_Toc104553128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9"/>
      <w:bookmarkEnd w:id="30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lastRenderedPageBreak/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494C08EA" w14:textId="5D4F4E73" w:rsidR="008F50B8" w:rsidRPr="00B71885" w:rsidRDefault="008F50B8" w:rsidP="00904B5C">
      <w:pPr>
        <w:pStyle w:val="Nagwek2"/>
      </w:pPr>
      <w:bookmarkStart w:id="31" w:name="_Toc57798168"/>
      <w:bookmarkStart w:id="32" w:name="_Toc104553129"/>
      <w:r w:rsidRPr="00B71885">
        <w:t>ROZDZIAŁ III ZASTĘPOWANIE PRACOWNIKÓW NA KIEROWNICZYCH STANOWISKACH</w:t>
      </w:r>
      <w:bookmarkEnd w:id="31"/>
      <w:bookmarkEnd w:id="32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3" w:name="_Toc57798169"/>
      <w:bookmarkStart w:id="34" w:name="_Toc104553130"/>
      <w:r w:rsidRPr="00B71885">
        <w:t>ROZDZIAŁ IV PRZYJMOWANIE I ZDAWANIE FUNKCJI</w:t>
      </w:r>
      <w:bookmarkEnd w:id="33"/>
      <w:bookmarkEnd w:id="34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2C500829" w14:textId="30D9FF78" w:rsidR="008F50B8" w:rsidRPr="00B71885" w:rsidRDefault="008F50B8" w:rsidP="00904B5C">
      <w:pPr>
        <w:pStyle w:val="Nagwek2"/>
      </w:pPr>
      <w:bookmarkStart w:id="35" w:name="_Toc57798170"/>
      <w:bookmarkStart w:id="36" w:name="_Toc104553131"/>
      <w:r w:rsidRPr="00B71885">
        <w:t>ROZDZIAŁ V KONTROLA DZIAŁALNOŚCI ADMINISTRACJI UCZELNI</w:t>
      </w:r>
      <w:bookmarkEnd w:id="35"/>
      <w:bookmarkEnd w:id="36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lastRenderedPageBreak/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A89B881" w14:textId="57A08213" w:rsidR="009A2DDD" w:rsidRPr="00B71885" w:rsidRDefault="009A2DDD" w:rsidP="00B71885">
      <w:pPr>
        <w:pStyle w:val="Nagwek1"/>
      </w:pPr>
      <w:bookmarkStart w:id="37" w:name="_Toc57798171"/>
      <w:bookmarkStart w:id="38" w:name="_Toc104553132"/>
      <w:r w:rsidRPr="00B71885"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7"/>
      <w:bookmarkEnd w:id="38"/>
    </w:p>
    <w:p w14:paraId="5D713654" w14:textId="57E29A4E" w:rsidR="009A2DDD" w:rsidRPr="00B71885" w:rsidRDefault="009A2DDD" w:rsidP="00904B5C">
      <w:pPr>
        <w:pStyle w:val="Nagwek2"/>
      </w:pPr>
      <w:bookmarkStart w:id="39" w:name="_Toc57798172"/>
      <w:bookmarkStart w:id="40" w:name="_Toc104553133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9"/>
      <w:bookmarkEnd w:id="40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0E661930" w14:textId="1EF4D61B" w:rsidR="009A2DDD" w:rsidRPr="00B71885" w:rsidRDefault="009A2DDD" w:rsidP="00904B5C">
      <w:pPr>
        <w:pStyle w:val="Nagwek2"/>
      </w:pPr>
      <w:bookmarkStart w:id="41" w:name="_Toc57798173"/>
      <w:bookmarkStart w:id="42" w:name="_Toc104553134"/>
      <w:r w:rsidRPr="00B71885"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1"/>
      <w:bookmarkEnd w:id="42"/>
    </w:p>
    <w:p w14:paraId="38EF0E0E" w14:textId="4319811B" w:rsidR="009A2DDD" w:rsidRPr="00B71885" w:rsidRDefault="009A2DDD" w:rsidP="00904B5C">
      <w:pPr>
        <w:pStyle w:val="Nagwek3"/>
      </w:pPr>
      <w:bookmarkStart w:id="43" w:name="_Toc57798174"/>
      <w:bookmarkStart w:id="44" w:name="_Toc104553135"/>
      <w:r w:rsidRPr="00B71885">
        <w:t>KANCLERZ</w:t>
      </w:r>
      <w:bookmarkEnd w:id="43"/>
      <w:bookmarkEnd w:id="44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lastRenderedPageBreak/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5" w:name="_Toc57798175"/>
      <w:bookmarkStart w:id="46" w:name="_Toc104553136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5"/>
      <w:bookmarkEnd w:id="46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7" w:name="_Toc57798176"/>
      <w:bookmarkStart w:id="48" w:name="_Toc104553137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7"/>
      <w:bookmarkEnd w:id="48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B71885">
      <w:pPr>
        <w:pStyle w:val="Nagwek"/>
        <w:numPr>
          <w:ilvl w:val="0"/>
          <w:numId w:val="114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77777777" w:rsidR="003A144F" w:rsidRPr="00B71885" w:rsidRDefault="0081352C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Płac.</w:t>
      </w:r>
    </w:p>
    <w:p w14:paraId="22C03761" w14:textId="2D0BF20A" w:rsidR="009A2DDD" w:rsidRPr="00B71885" w:rsidRDefault="009A2DDD" w:rsidP="00904B5C">
      <w:pPr>
        <w:pStyle w:val="Nagwek3"/>
      </w:pPr>
      <w:bookmarkStart w:id="49" w:name="_Toc57798177"/>
      <w:bookmarkStart w:id="50" w:name="_Toc104553138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9"/>
      <w:bookmarkEnd w:id="50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B71885">
      <w:pPr>
        <w:pStyle w:val="Nagwek"/>
        <w:numPr>
          <w:ilvl w:val="0"/>
          <w:numId w:val="60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B71885">
      <w:pPr>
        <w:numPr>
          <w:ilvl w:val="0"/>
          <w:numId w:val="60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6B4B5343" w14:textId="69F02B63" w:rsidR="009A2DDD" w:rsidRPr="00B71885" w:rsidRDefault="00516B47" w:rsidP="00B71885">
      <w:pPr>
        <w:pStyle w:val="Nagwek1"/>
      </w:pPr>
      <w:bookmarkStart w:id="51" w:name="_Toc57798178"/>
      <w:bookmarkStart w:id="52" w:name="_Toc104553139"/>
      <w:r w:rsidRPr="00B71885"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1"/>
      <w:bookmarkEnd w:id="52"/>
    </w:p>
    <w:p w14:paraId="2137438F" w14:textId="0D40E32C" w:rsidR="009A2DDD" w:rsidRPr="00B71885" w:rsidRDefault="009A2DDD" w:rsidP="00904B5C">
      <w:pPr>
        <w:pStyle w:val="Nagwek2"/>
      </w:pPr>
      <w:bookmarkStart w:id="53" w:name="_Toc57798179"/>
      <w:bookmarkStart w:id="54" w:name="_Toc104553140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3"/>
      <w:bookmarkEnd w:id="54"/>
    </w:p>
    <w:p w14:paraId="67ADC376" w14:textId="78DDA89F" w:rsidR="00EA3976" w:rsidRPr="00B71885" w:rsidRDefault="00EA3976" w:rsidP="00904B5C">
      <w:pPr>
        <w:pStyle w:val="Nagwek3"/>
      </w:pPr>
      <w:bookmarkStart w:id="55" w:name="_Toc57798180"/>
      <w:bookmarkStart w:id="56" w:name="_Toc104553141"/>
      <w:r w:rsidRPr="00B71885">
        <w:t>RADCA PRAWNY</w:t>
      </w:r>
      <w:bookmarkEnd w:id="55"/>
      <w:bookmarkEnd w:id="56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7" w:name="_Toc57798181"/>
      <w:bookmarkStart w:id="58" w:name="_Toc104553142"/>
      <w:r w:rsidRPr="00B71885">
        <w:t>BIURO AUDYTU WEWNĘTRZNEGO</w:t>
      </w:r>
      <w:bookmarkEnd w:id="57"/>
      <w:bookmarkEnd w:id="58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9" w:name="_Toc57798182"/>
      <w:bookmarkStart w:id="60" w:name="_Toc104553143"/>
      <w:r w:rsidRPr="00B71885">
        <w:t>SPECJALISTA DS. OBRONNYCH</w:t>
      </w:r>
      <w:bookmarkEnd w:id="59"/>
      <w:bookmarkEnd w:id="60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733BBEAC" w14:textId="4929C2AB" w:rsidR="00EA3976" w:rsidRPr="00B71885" w:rsidRDefault="00EA3976" w:rsidP="00904B5C">
      <w:pPr>
        <w:pStyle w:val="Nagwek3"/>
      </w:pPr>
      <w:bookmarkStart w:id="61" w:name="_Toc57798183"/>
      <w:bookmarkStart w:id="62" w:name="_Toc104553144"/>
      <w:r w:rsidRPr="00B71885">
        <w:t>INSPEKTORAT BHP</w:t>
      </w:r>
      <w:bookmarkEnd w:id="61"/>
      <w:bookmarkEnd w:id="62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3" w:name="_Toc57798184"/>
      <w:bookmarkStart w:id="64" w:name="_Toc104553145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3"/>
      <w:bookmarkEnd w:id="64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7CDD9304" w14:textId="77777777" w:rsidR="004E425B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</w:p>
    <w:p w14:paraId="6BA99D37" w14:textId="77777777" w:rsidR="004827E0" w:rsidRDefault="004827E0" w:rsidP="00904B5C">
      <w:pPr>
        <w:pStyle w:val="Nagwek3"/>
      </w:pPr>
      <w:bookmarkStart w:id="65" w:name="_Toc57798185"/>
      <w:r>
        <w:br w:type="page"/>
      </w:r>
    </w:p>
    <w:p w14:paraId="5B5DEE5F" w14:textId="640D41FE" w:rsidR="00EA3976" w:rsidRPr="00B71885" w:rsidRDefault="00EA3976" w:rsidP="00904B5C">
      <w:pPr>
        <w:pStyle w:val="Nagwek3"/>
      </w:pPr>
      <w:bookmarkStart w:id="66" w:name="_Toc104553146"/>
      <w:r w:rsidRPr="00B71885">
        <w:lastRenderedPageBreak/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5"/>
      <w:bookmarkEnd w:id="66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7" w:name="_Toc57798186"/>
      <w:bookmarkStart w:id="68" w:name="_Toc104553147"/>
      <w:r w:rsidRPr="00B71885">
        <w:t>INSPEKTOR OCHRONY DANYCH</w:t>
      </w:r>
      <w:bookmarkEnd w:id="67"/>
      <w:bookmarkEnd w:id="68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6E74ED07" w14:textId="77777777" w:rsidR="00690D59" w:rsidRPr="00B71885" w:rsidRDefault="0079436D" w:rsidP="00B71885">
      <w:pPr>
        <w:numPr>
          <w:ilvl w:val="1"/>
          <w:numId w:val="64"/>
        </w:numPr>
        <w:spacing w:after="240"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B71885">
        <w:rPr>
          <w:rFonts w:asciiTheme="minorHAnsi" w:hAnsiTheme="minorHAnsi" w:cstheme="minorHAnsi"/>
          <w:iCs/>
        </w:rPr>
        <w:t xml:space="preserve"> </w:t>
      </w:r>
      <w:r w:rsidR="003C7E4C" w:rsidRPr="00B71885">
        <w:rPr>
          <w:rFonts w:asciiTheme="minorHAnsi" w:hAnsiTheme="minorHAnsi" w:cstheme="minorHAnsi"/>
          <w:iCs/>
        </w:rPr>
        <w:br/>
        <w:t>w przygotowywaniu odpowiedzi.</w:t>
      </w:r>
    </w:p>
    <w:p w14:paraId="76032F46" w14:textId="77777777" w:rsidR="004827E0" w:rsidRDefault="004827E0" w:rsidP="00904B5C">
      <w:pPr>
        <w:pStyle w:val="Nagwek3"/>
      </w:pPr>
      <w:bookmarkStart w:id="69" w:name="_Toc57798187"/>
      <w:r>
        <w:br w:type="page"/>
      </w:r>
    </w:p>
    <w:p w14:paraId="64740679" w14:textId="38DF9FD3" w:rsidR="00690D59" w:rsidRPr="00B71885" w:rsidRDefault="00690D59" w:rsidP="00904B5C">
      <w:pPr>
        <w:pStyle w:val="Nagwek3"/>
      </w:pPr>
      <w:bookmarkStart w:id="70" w:name="_Toc104553148"/>
      <w:r w:rsidRPr="00B71885">
        <w:lastRenderedPageBreak/>
        <w:t>RZECZNIK PRASOWY</w:t>
      </w:r>
      <w:bookmarkEnd w:id="69"/>
      <w:bookmarkEnd w:id="70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71885">
        <w:rPr>
          <w:rFonts w:asciiTheme="minorHAnsi" w:hAnsiTheme="minorHAnsi" w:cstheme="minorHAnsi"/>
        </w:rPr>
        <w:t>Linked</w:t>
      </w:r>
      <w:proofErr w:type="spellEnd"/>
      <w:r w:rsidR="00B15829" w:rsidRPr="00B71885">
        <w:rPr>
          <w:rFonts w:asciiTheme="minorHAnsi" w:hAnsiTheme="minorHAnsi" w:cstheme="minorHAnsi"/>
        </w:rPr>
        <w:t xml:space="preserve">-in). </w:t>
      </w:r>
    </w:p>
    <w:p w14:paraId="18E47BA7" w14:textId="77777777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B71885">
      <w:pPr>
        <w:numPr>
          <w:ilvl w:val="0"/>
          <w:numId w:val="61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1" w:name="_Toc57798188"/>
      <w:bookmarkStart w:id="72" w:name="_Toc104553149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1"/>
      <w:bookmarkEnd w:id="72"/>
    </w:p>
    <w:p w14:paraId="4EFC355A" w14:textId="1F765A87" w:rsidR="00690D59" w:rsidRPr="00B71885" w:rsidRDefault="00690D59" w:rsidP="00904B5C">
      <w:pPr>
        <w:pStyle w:val="Nagwek3"/>
      </w:pPr>
      <w:bookmarkStart w:id="73" w:name="_Toc57798189"/>
      <w:bookmarkStart w:id="74" w:name="_Toc104553150"/>
      <w:r w:rsidRPr="00B71885">
        <w:t>DZIAŁ SPRAW PRACOWNICZYCH</w:t>
      </w:r>
      <w:bookmarkEnd w:id="73"/>
      <w:bookmarkEnd w:id="74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4ADA133C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A4325D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77777777" w:rsidR="009A2DDD" w:rsidRPr="00B71885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7A61B289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after="240"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Socjalnej.</w:t>
      </w:r>
    </w:p>
    <w:p w14:paraId="557F309B" w14:textId="123EBF85" w:rsidR="00E0347B" w:rsidRPr="00B71885" w:rsidRDefault="00E0347B" w:rsidP="00904B5C">
      <w:pPr>
        <w:pStyle w:val="Nagwek3"/>
      </w:pPr>
      <w:bookmarkStart w:id="75" w:name="_Toc57798190"/>
      <w:bookmarkStart w:id="76" w:name="_Toc104553151"/>
      <w:r w:rsidRPr="00B71885">
        <w:t>BIURO REKTORA</w:t>
      </w:r>
      <w:bookmarkEnd w:id="75"/>
      <w:bookmarkEnd w:id="76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B71885">
      <w:pPr>
        <w:pStyle w:val="Tekstpodstawowy2"/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lastRenderedPageBreak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Doctor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kolegialnych</w:t>
      </w:r>
      <w:r w:rsidR="00B13BC6" w:rsidRPr="00B71885">
        <w:rPr>
          <w:rFonts w:asciiTheme="minorHAnsi" w:hAnsiTheme="minorHAnsi" w:cstheme="minorHAnsi"/>
        </w:rPr>
        <w:t>.</w:t>
      </w:r>
    </w:p>
    <w:p w14:paraId="6FBBB211" w14:textId="77777777" w:rsidR="00B13BC6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przewodniczeniem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Środowiskowemu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Kolegium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Wyższych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B13BC6" w:rsidRPr="00B71885">
        <w:rPr>
          <w:rFonts w:asciiTheme="minorHAnsi" w:hAnsiTheme="minorHAnsi" w:cstheme="minorHAnsi"/>
        </w:rPr>
        <w:t>.</w:t>
      </w:r>
    </w:p>
    <w:p w14:paraId="0EAB1EA1" w14:textId="77777777" w:rsidR="004E02CC" w:rsidRPr="00B71885" w:rsidRDefault="004E02CC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Przyjmowanie korespondencji za pomocą platformy e-PUAP i przekazywanie jej do odpowiednich jednostek przez</w:t>
      </w:r>
      <w:r w:rsidR="00D27C39" w:rsidRPr="00B71885">
        <w:rPr>
          <w:rFonts w:asciiTheme="minorHAnsi" w:hAnsiTheme="minorHAnsi" w:cstheme="minorHAnsi"/>
        </w:rPr>
        <w:t xml:space="preserve"> system</w:t>
      </w:r>
      <w:r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>informatyczny</w:t>
      </w:r>
      <w:r w:rsidRPr="00B71885">
        <w:rPr>
          <w:rFonts w:asciiTheme="minorHAnsi" w:hAnsiTheme="minorHAnsi" w:cstheme="minorHAnsi"/>
        </w:rPr>
        <w:t>.</w:t>
      </w:r>
    </w:p>
    <w:p w14:paraId="55C2C20E" w14:textId="3D028C82" w:rsidR="004D6176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kancelaryjno-biurowych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Urzędu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4E02CC" w:rsidRPr="00B71885">
        <w:rPr>
          <w:rFonts w:asciiTheme="minorHAnsi" w:hAnsiTheme="minorHAnsi" w:cstheme="minorHAnsi"/>
        </w:rPr>
        <w:t>.</w:t>
      </w:r>
    </w:p>
    <w:p w14:paraId="25D51F3C" w14:textId="35DE8377" w:rsidR="00AF1913" w:rsidRPr="00B71885" w:rsidRDefault="00AF1913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07019701" w14:textId="77777777" w:rsidR="00C70B82" w:rsidRPr="00B71885" w:rsidRDefault="00C70B82" w:rsidP="00B71885">
      <w:pPr>
        <w:numPr>
          <w:ilvl w:val="0"/>
          <w:numId w:val="14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Biuro Rektora podlega merytorycznie Rektorowi.</w:t>
      </w:r>
    </w:p>
    <w:p w14:paraId="2B5B5E34" w14:textId="665B0430" w:rsidR="004E02CC" w:rsidRPr="00B71885" w:rsidRDefault="000463E4" w:rsidP="00904B5C">
      <w:pPr>
        <w:pStyle w:val="Nagwek3"/>
      </w:pPr>
      <w:bookmarkStart w:id="77" w:name="_Toc57798191"/>
      <w:bookmarkStart w:id="78" w:name="_Toc104553152"/>
      <w:r w:rsidRPr="00B71885">
        <w:t xml:space="preserve">DZIAŁ </w:t>
      </w:r>
      <w:r w:rsidR="004E02CC" w:rsidRPr="00B71885">
        <w:t>DS. KLINICZNYCH I SZKOLENIA ZAWODOWEGO</w:t>
      </w:r>
      <w:bookmarkEnd w:id="77"/>
      <w:bookmarkEnd w:id="78"/>
    </w:p>
    <w:p w14:paraId="2103F20D" w14:textId="77777777" w:rsidR="005404AF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B71885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B71885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B71885">
        <w:rPr>
          <w:rFonts w:asciiTheme="minorHAnsi" w:hAnsiTheme="minorHAnsi" w:cstheme="minorHAnsi"/>
          <w:bCs/>
          <w:iCs/>
        </w:rPr>
        <w:t>Szkolenia Zawodowego</w:t>
      </w:r>
      <w:r w:rsidR="00AC21D9" w:rsidRPr="00B71885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merytoryczny i prowadzenie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B71885">
      <w:pPr>
        <w:numPr>
          <w:ilvl w:val="0"/>
          <w:numId w:val="12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przyjmowanie spraw dotyczących skarg pacjentów na podległe szpitale kliniczne szpitali klinicznych,</w:t>
      </w:r>
    </w:p>
    <w:p w14:paraId="4541AFE0" w14:textId="4A045A7F" w:rsidR="004E02CC" w:rsidRPr="00B71885" w:rsidRDefault="00AC21D9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corocznego planu kontroli dotyczącego podległych szpitali klinicznych,</w:t>
      </w:r>
    </w:p>
    <w:p w14:paraId="50EF3AC0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79" w:name="_Toc57798192"/>
      <w:bookmarkStart w:id="80" w:name="_Toc104553153"/>
      <w:r w:rsidRPr="00B71885">
        <w:t>DZIAŁ NAUKI</w:t>
      </w:r>
      <w:bookmarkEnd w:id="79"/>
      <w:bookmarkEnd w:id="80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B71885">
      <w:pPr>
        <w:pStyle w:val="Akapitzlist"/>
        <w:numPr>
          <w:ilvl w:val="0"/>
          <w:numId w:val="167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B71885">
      <w:pPr>
        <w:widowControl w:val="0"/>
        <w:numPr>
          <w:ilvl w:val="0"/>
          <w:numId w:val="152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50B11A8E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zadań w zakresie finansowania, realizacji oraz rozliczania projektów naukowych realizowanych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ze  środków pochodzących z subwencji Ministra Nauki i Szkolnictwa Wyższego w części przeznaczonej na prowadzenie działalności naukowej: utrzymanie i rozwój potencjału badawczego, w tym: nabór wniosków, ocena formalna wniosków, kalkulacja budżetów projektów, rozliczanie projektów,</w:t>
      </w:r>
    </w:p>
    <w:p w14:paraId="4CBED6F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lastRenderedPageBreak/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Nauki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i Szkolnictwa Wyższego.</w:t>
      </w:r>
    </w:p>
    <w:p w14:paraId="2F84ACF6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77777777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skorzystania z oferty Ministra Nauki i Szkolnictwa Wyższego w zakresie zadań dot. upowszechniania nauki,</w:t>
      </w:r>
    </w:p>
    <w:p w14:paraId="70AF49DE" w14:textId="70BB0700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77777777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dla kandydatów ubiegających się o stypendia Ministra Nauki i Szkolnictwa Wyższego dla wybitnych młodych naukowców,</w:t>
      </w:r>
    </w:p>
    <w:p w14:paraId="558A8EF6" w14:textId="2886887B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finansowane z różnorodnych źródeł zewnętrznych.</w:t>
      </w:r>
    </w:p>
    <w:p w14:paraId="44BF927C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czasopisma wśród jak najszerszego grona potencjalnych jego autorów.</w:t>
      </w:r>
    </w:p>
    <w:p w14:paraId="327EE557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B71885">
      <w:pPr>
        <w:pStyle w:val="Akapitzlist"/>
        <w:widowControl w:val="0"/>
        <w:numPr>
          <w:ilvl w:val="0"/>
          <w:numId w:val="167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033006E9" w14:textId="331B68BC" w:rsidR="004015F4" w:rsidRPr="00B71885" w:rsidRDefault="004015F4" w:rsidP="00904B5C">
      <w:pPr>
        <w:pStyle w:val="Nagwek3"/>
      </w:pPr>
      <w:bookmarkStart w:id="81" w:name="_Toc57798193"/>
      <w:bookmarkStart w:id="82" w:name="_Toc104553154"/>
      <w:r w:rsidRPr="00B71885">
        <w:t>DZIAŁ ROZWOJU I EWALUACJI</w:t>
      </w:r>
      <w:bookmarkEnd w:id="81"/>
      <w:bookmarkEnd w:id="82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763096FC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 xml:space="preserve">obsługa administracyjno-biurowa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Prorektora ds. Nauki i Rozwoju;</w:t>
      </w:r>
    </w:p>
    <w:p w14:paraId="51285E3E" w14:textId="5300C7B2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i Rad Kolegiów Naukowych,</w:t>
      </w:r>
    </w:p>
    <w:p w14:paraId="74E7EDFF" w14:textId="65032E82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0DF9D024" w14:textId="77777777" w:rsidR="004015F4" w:rsidRPr="00B71885" w:rsidRDefault="004015F4" w:rsidP="00B71885">
      <w:pPr>
        <w:spacing w:after="240" w:line="336" w:lineRule="auto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</w:p>
    <w:p w14:paraId="72093C9C" w14:textId="77777777" w:rsidR="004827E0" w:rsidRDefault="004827E0" w:rsidP="00904B5C">
      <w:pPr>
        <w:pStyle w:val="Nagwek3"/>
      </w:pPr>
      <w:bookmarkStart w:id="83" w:name="_Toc57798194"/>
      <w:r>
        <w:br w:type="page"/>
      </w:r>
    </w:p>
    <w:p w14:paraId="51CB3CAE" w14:textId="7191662A" w:rsidR="002D0216" w:rsidRPr="00B71885" w:rsidRDefault="002D0216" w:rsidP="00904B5C">
      <w:pPr>
        <w:pStyle w:val="Nagwek3"/>
      </w:pPr>
      <w:bookmarkStart w:id="84" w:name="_Toc104553155"/>
      <w:r w:rsidRPr="00B71885">
        <w:lastRenderedPageBreak/>
        <w:t>BIURO TRANSFERU TECHNOLOGII</w:t>
      </w:r>
      <w:bookmarkEnd w:id="83"/>
      <w:bookmarkEnd w:id="84"/>
    </w:p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5" w:name="_Toc57798195"/>
      <w:bookmarkStart w:id="86" w:name="_Toc104553156"/>
      <w:r w:rsidRPr="00B71885">
        <w:t>DZIAŁ SPRAW STUDENCKICH</w:t>
      </w:r>
      <w:bookmarkEnd w:id="85"/>
      <w:bookmarkEnd w:id="86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487A7FD1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 biura Pełnomocnika Rektora ds. Osób Niepełnosprawnych.</w:t>
      </w:r>
    </w:p>
    <w:p w14:paraId="1E8642A1" w14:textId="77777777" w:rsidR="00BB34C7" w:rsidRPr="00B71885" w:rsidRDefault="00BB34C7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Rozdysponowanie środków na zadania związane z zapewnieniem osobom niepełnosprawnym warunków do pełnego udziału w kształceniu na studiach i w szkołach doktorskich, w tym zawieranie umów w zakresie dodatkowych zadań związanych </w:t>
      </w:r>
      <w:r w:rsidR="00C26825" w:rsidRPr="00B71885">
        <w:rPr>
          <w:rFonts w:asciiTheme="minorHAnsi" w:hAnsiTheme="minorHAnsi" w:cstheme="minorHAnsi"/>
          <w:b w:val="0"/>
          <w:iCs/>
        </w:rPr>
        <w:br/>
      </w:r>
      <w:r w:rsidRPr="00B71885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77777777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lastRenderedPageBreak/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prowadzenie spraw związanych z przyznaniem pomocy materialnej </w:t>
      </w:r>
      <w:r w:rsidRPr="00B71885">
        <w:rPr>
          <w:rFonts w:asciiTheme="minorHAnsi" w:hAnsiTheme="minorHAnsi" w:cstheme="minorHAnsi"/>
          <w:b w:val="0"/>
          <w:bCs w:val="0"/>
        </w:rPr>
        <w:br/>
        <w:t>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wydawanie zaświadczeń o świadczeniach pomocy materialnej.</w:t>
      </w:r>
    </w:p>
    <w:p w14:paraId="271CD8AD" w14:textId="3E591EA9" w:rsidR="007528B0" w:rsidRPr="00B71885" w:rsidRDefault="00BB34C7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7" w:name="_Toc14865033"/>
      <w:bookmarkStart w:id="88" w:name="_Toc104553157"/>
      <w:r w:rsidRPr="00B71885">
        <w:t>SEKCJA DS. PLANOWANIA I ROZLICZANIA OBCIĄŻEŃ DYDAKTYCZNYCH</w:t>
      </w:r>
      <w:bookmarkEnd w:id="87"/>
      <w:bookmarkEnd w:id="88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7777777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77777777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B71885">
      <w:pPr>
        <w:pStyle w:val="Akapitzlist"/>
        <w:numPr>
          <w:ilvl w:val="0"/>
          <w:numId w:val="123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1B4A37B" w14:textId="1F5632B8" w:rsidR="0057170B" w:rsidRPr="00B71885" w:rsidRDefault="0057170B" w:rsidP="00B71885">
      <w:pPr>
        <w:pStyle w:val="Akapitzlist"/>
        <w:numPr>
          <w:ilvl w:val="0"/>
          <w:numId w:val="123"/>
        </w:numPr>
        <w:spacing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</w:p>
    <w:p w14:paraId="181E0205" w14:textId="77777777" w:rsidR="004827E0" w:rsidRDefault="004827E0" w:rsidP="00904B5C">
      <w:pPr>
        <w:pStyle w:val="Nagwek3"/>
      </w:pPr>
      <w:bookmarkStart w:id="89" w:name="_Toc57798196"/>
      <w:r>
        <w:br w:type="page"/>
      </w:r>
    </w:p>
    <w:p w14:paraId="27D2554E" w14:textId="595E7792" w:rsidR="00030C96" w:rsidRPr="00B71885" w:rsidRDefault="00030C96" w:rsidP="00904B5C">
      <w:pPr>
        <w:pStyle w:val="Nagwek3"/>
      </w:pPr>
      <w:bookmarkStart w:id="90" w:name="_Toc104553158"/>
      <w:r w:rsidRPr="00B71885">
        <w:lastRenderedPageBreak/>
        <w:t>DZIAŁ NOWOCZESNYCH METOD I TECHNIK KSZTAŁCENIA</w:t>
      </w:r>
      <w:bookmarkEnd w:id="89"/>
      <w:bookmarkEnd w:id="90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nadzór nad sprawnością techniczną symulatorów, fantomów, urządzeń medycznych i drobnego sprzętu medycznego oraz zgłaszanie do naprawy i serwisu zgodnie z umowami,</w:t>
      </w:r>
    </w:p>
    <w:p w14:paraId="606527E2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>wnienie ich obsługi technicznej.</w:t>
      </w:r>
    </w:p>
    <w:p w14:paraId="6AC96C7C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6CA32336" w14:textId="25DAEBFD" w:rsidR="00030C96" w:rsidRPr="00B71885" w:rsidRDefault="00030C96" w:rsidP="00B71885">
      <w:pPr>
        <w:numPr>
          <w:ilvl w:val="0"/>
          <w:numId w:val="161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</w:p>
    <w:p w14:paraId="3B810FEC" w14:textId="1C4469A6" w:rsidR="00EF3220" w:rsidRPr="00B71885" w:rsidRDefault="00EF3220" w:rsidP="00904B5C">
      <w:pPr>
        <w:pStyle w:val="Nagwek3"/>
      </w:pPr>
      <w:bookmarkStart w:id="91" w:name="_Toc57798197"/>
      <w:bookmarkStart w:id="92" w:name="_Toc104553159"/>
      <w:r w:rsidRPr="00B71885">
        <w:t>DOMY STUDENTA</w:t>
      </w:r>
      <w:bookmarkEnd w:id="91"/>
      <w:bookmarkEnd w:id="92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B71885">
      <w:pPr>
        <w:pStyle w:val="Akapitzlist"/>
        <w:numPr>
          <w:ilvl w:val="0"/>
          <w:numId w:val="8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04B5C">
      <w:pPr>
        <w:numPr>
          <w:ilvl w:val="0"/>
          <w:numId w:val="147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04B5C">
      <w:pPr>
        <w:pStyle w:val="Akapitzlist"/>
        <w:numPr>
          <w:ilvl w:val="0"/>
          <w:numId w:val="147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B71885">
      <w:pPr>
        <w:numPr>
          <w:ilvl w:val="0"/>
          <w:numId w:val="84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3" w:name="_Toc57798198"/>
      <w:bookmarkStart w:id="94" w:name="_Toc104553160"/>
      <w:r w:rsidRPr="00B71885">
        <w:t>BIURO KARIER</w:t>
      </w:r>
      <w:bookmarkEnd w:id="93"/>
      <w:bookmarkEnd w:id="94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5" w:name="_Toc57798199"/>
      <w:bookmarkStart w:id="96" w:name="_Toc104553161"/>
      <w:r w:rsidRPr="00B71885">
        <w:t>DZIEKANATY WYDZIAŁÓW</w:t>
      </w:r>
      <w:bookmarkEnd w:id="95"/>
      <w:bookmarkEnd w:id="96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7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B71885">
      <w:pPr>
        <w:numPr>
          <w:ilvl w:val="1"/>
          <w:numId w:val="118"/>
        </w:numPr>
        <w:tabs>
          <w:tab w:val="clear" w:pos="1440"/>
          <w:tab w:val="num" w:pos="928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B71885">
      <w:pPr>
        <w:numPr>
          <w:ilvl w:val="1"/>
          <w:numId w:val="118"/>
        </w:numPr>
        <w:tabs>
          <w:tab w:val="clear" w:pos="1440"/>
          <w:tab w:val="num" w:pos="928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71885">
        <w:rPr>
          <w:rFonts w:asciiTheme="minorHAnsi" w:hAnsiTheme="minorHAnsi" w:cstheme="minorHAnsi"/>
        </w:rPr>
        <w:t>t.j</w:t>
      </w:r>
      <w:proofErr w:type="spellEnd"/>
      <w:r w:rsidRPr="00B71885">
        <w:rPr>
          <w:rFonts w:asciiTheme="minorHAnsi" w:hAnsiTheme="minorHAnsi" w:cstheme="minorHAnsi"/>
        </w:rPr>
        <w:t>.:</w:t>
      </w:r>
    </w:p>
    <w:p w14:paraId="13D0FF01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bookmarkStart w:id="98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8"/>
    <w:p w14:paraId="010A9AD9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prowadzanie spraw oraz przygotowanie dokumentacji dotyczącej ubiegania się </w:t>
      </w:r>
      <w:r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 xml:space="preserve">obsługa stałych i doraźnych komisji wydziałowych oraz dziekańskich, </w:t>
      </w:r>
    </w:p>
    <w:p w14:paraId="49731624" w14:textId="77777777" w:rsidR="00CE74E8" w:rsidRPr="00B71885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B71885">
      <w:pPr>
        <w:numPr>
          <w:ilvl w:val="1"/>
          <w:numId w:val="118"/>
        </w:numPr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2BBA3F2" w14:textId="6FFCD5B0" w:rsidR="00904B5C" w:rsidRPr="00904B5C" w:rsidRDefault="00904B5C" w:rsidP="00904B5C">
      <w:pPr>
        <w:pStyle w:val="Nagwek3"/>
      </w:pPr>
      <w:bookmarkStart w:id="99" w:name="_Toc104553162"/>
      <w:r w:rsidRPr="00904B5C">
        <w:t>BIURO SZKOŁY DOKTORSKIEJ</w:t>
      </w:r>
      <w:bookmarkEnd w:id="99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04B5C">
      <w:pPr>
        <w:pStyle w:val="Akapitzlist"/>
        <w:numPr>
          <w:ilvl w:val="3"/>
          <w:numId w:val="17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04B5C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2A174D1D" w14:textId="474251FF" w:rsidR="00904B5C" w:rsidRPr="00904B5C" w:rsidRDefault="00904B5C" w:rsidP="00904B5C">
      <w:pPr>
        <w:pStyle w:val="Akapitzlist"/>
        <w:numPr>
          <w:ilvl w:val="3"/>
          <w:numId w:val="17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54892660" w14:textId="77777777" w:rsidR="004827E0" w:rsidRDefault="004827E0" w:rsidP="00904B5C">
      <w:pPr>
        <w:pStyle w:val="Nagwek3"/>
      </w:pPr>
      <w:r>
        <w:br w:type="page"/>
      </w:r>
    </w:p>
    <w:p w14:paraId="3A061A59" w14:textId="0F734776" w:rsidR="001D57C0" w:rsidRPr="00B71885" w:rsidRDefault="001D57C0" w:rsidP="00904B5C">
      <w:pPr>
        <w:pStyle w:val="Nagwek3"/>
      </w:pPr>
      <w:bookmarkStart w:id="100" w:name="_Toc104553163"/>
      <w:r w:rsidRPr="00B71885">
        <w:lastRenderedPageBreak/>
        <w:t>DZIAŁ ZAMÓWIEŃ PUBLICZNYCH</w:t>
      </w:r>
      <w:bookmarkEnd w:id="97"/>
      <w:bookmarkEnd w:id="100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1" w:name="_Toc57798201"/>
      <w:bookmarkStart w:id="102" w:name="_Toc104553164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1"/>
      <w:bookmarkEnd w:id="102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wykonywanych pieczątek.</w:t>
      </w:r>
    </w:p>
    <w:p w14:paraId="282B2153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badań zlecanych na zewnątrz.</w:t>
      </w:r>
    </w:p>
    <w:p w14:paraId="19659B98" w14:textId="1988201F" w:rsidR="001D3A32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</w:t>
      </w:r>
      <w:proofErr w:type="spellStart"/>
      <w:r w:rsidRPr="00B71885">
        <w:rPr>
          <w:rFonts w:asciiTheme="minorHAnsi" w:hAnsiTheme="minorHAnsi" w:cstheme="minorHAnsi"/>
        </w:rPr>
        <w:t>Magna</w:t>
      </w:r>
      <w:proofErr w:type="spellEnd"/>
      <w:r w:rsidRPr="00B71885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71885">
        <w:rPr>
          <w:rFonts w:asciiTheme="minorHAnsi" w:hAnsiTheme="minorHAnsi" w:cstheme="minorHAnsi"/>
        </w:rPr>
        <w:t>Euroregionalnego</w:t>
      </w:r>
      <w:proofErr w:type="spellEnd"/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6A0ECB6A" w14:textId="2C896F09" w:rsidR="001D57C0" w:rsidRPr="00B71885" w:rsidRDefault="001D57C0" w:rsidP="00904B5C">
      <w:pPr>
        <w:pStyle w:val="Nagwek3"/>
      </w:pPr>
      <w:bookmarkStart w:id="103" w:name="_Toc57798202"/>
      <w:bookmarkStart w:id="104" w:name="_Toc104553165"/>
      <w:r w:rsidRPr="00B71885">
        <w:t>DZIAŁ INFORMATYKI</w:t>
      </w:r>
      <w:bookmarkEnd w:id="103"/>
      <w:bookmarkEnd w:id="104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Pr="00B71885">
        <w:rPr>
          <w:rFonts w:asciiTheme="minorHAnsi" w:hAnsiTheme="minorHAnsi" w:cstheme="minorHAnsi"/>
        </w:rPr>
        <w:t>cyberbezpieczeństwa</w:t>
      </w:r>
      <w:proofErr w:type="spellEnd"/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5" w:name="_Toc57798203"/>
      <w:bookmarkStart w:id="106" w:name="_Toc104553166"/>
      <w:r w:rsidRPr="00B71885">
        <w:t>DZIAŁ PROJEKTÓW POMOCOWYCH</w:t>
      </w:r>
      <w:bookmarkEnd w:id="105"/>
      <w:bookmarkEnd w:id="106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77777777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</w:p>
    <w:p w14:paraId="01FAE1E1" w14:textId="63ECCD46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przygotowywaniem raportów w okresie trwałości projektów,</w:t>
      </w:r>
    </w:p>
    <w:p w14:paraId="5837D6DF" w14:textId="77777777" w:rsidR="00DC51EB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>.</w:t>
      </w:r>
    </w:p>
    <w:p w14:paraId="091C6DA9" w14:textId="2D056639" w:rsidR="00CD05AF" w:rsidRPr="00B71885" w:rsidRDefault="003760C4" w:rsidP="00B71885">
      <w:pPr>
        <w:numPr>
          <w:ilvl w:val="0"/>
          <w:numId w:val="141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7" w:name="_Toc57798204"/>
      <w:bookmarkStart w:id="108" w:name="_Toc104553167"/>
      <w:r w:rsidRPr="00B71885">
        <w:t>BIURO KANCLERZA</w:t>
      </w:r>
      <w:bookmarkEnd w:id="107"/>
      <w:bookmarkEnd w:id="108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B71885">
      <w:pPr>
        <w:numPr>
          <w:ilvl w:val="1"/>
          <w:numId w:val="146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42483597" w14:textId="375C19E1" w:rsidR="004E425B" w:rsidRPr="00B71885" w:rsidRDefault="001D57C0" w:rsidP="00904B5C">
      <w:pPr>
        <w:pStyle w:val="Nagwek3"/>
      </w:pPr>
      <w:bookmarkStart w:id="109" w:name="_Toc57798205"/>
      <w:bookmarkStart w:id="110" w:name="_Toc104553168"/>
      <w:r w:rsidRPr="00B71885">
        <w:t>DZIAŁ</w:t>
      </w:r>
      <w:bookmarkStart w:id="111" w:name="_Toc14031461"/>
      <w:r w:rsidR="004D0E96" w:rsidRPr="00B71885">
        <w:t xml:space="preserve"> </w:t>
      </w:r>
      <w:r w:rsidR="004E425B" w:rsidRPr="00B71885">
        <w:t>WSPÓŁPRACY MIĘDZYNARODOWEJ</w:t>
      </w:r>
      <w:bookmarkEnd w:id="109"/>
      <w:bookmarkEnd w:id="110"/>
      <w:bookmarkEnd w:id="111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 xml:space="preserve">Organizacja i prowadzenie miejsca dedykowanego obsłudze studentów i kadry zagranicznej tzw. </w:t>
      </w:r>
      <w:proofErr w:type="spellStart"/>
      <w:r w:rsidRPr="00B71885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Pr="00B71885">
        <w:rPr>
          <w:rStyle w:val="Pogrubienie"/>
          <w:rFonts w:asciiTheme="minorHAnsi" w:hAnsiTheme="minorHAnsi" w:cstheme="minorHAnsi"/>
          <w:b w:val="0"/>
        </w:rPr>
        <w:t xml:space="preserve"> Centre.</w:t>
      </w:r>
    </w:p>
    <w:p w14:paraId="42EA0C2F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przyjmowanie i ewidencjonowanie wniosków dotyczących finansowania współpracy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>międzynarodowej z zagranicą,</w:t>
      </w:r>
    </w:p>
    <w:p w14:paraId="1BEF04C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6778A21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77777777" w:rsidR="004E425B" w:rsidRPr="00B71885" w:rsidRDefault="004E425B" w:rsidP="00B71885">
      <w:pPr>
        <w:widowControl w:val="0"/>
        <w:numPr>
          <w:ilvl w:val="0"/>
          <w:numId w:val="65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>o środki z różnych źródeł w konkursach, których przedmiotem jest rozwój współpracy międzynarodowej,</w:t>
      </w:r>
    </w:p>
    <w:p w14:paraId="0E4C9926" w14:textId="77777777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71885" w:rsidRDefault="00BC13E4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47233D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2" w:name="_Toc57798206"/>
      <w:bookmarkStart w:id="113" w:name="_Toc104553169"/>
      <w:r w:rsidRPr="00B71885">
        <w:t>DZIAŁ ORGANIZACJI I KONTROLI</w:t>
      </w:r>
      <w:bookmarkEnd w:id="112"/>
      <w:bookmarkEnd w:id="113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B71885">
      <w:pPr>
        <w:pStyle w:val="unhjunhju"/>
        <w:numPr>
          <w:ilvl w:val="0"/>
          <w:numId w:val="91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B71885">
      <w:pPr>
        <w:pStyle w:val="Nagwek"/>
        <w:numPr>
          <w:ilvl w:val="0"/>
          <w:numId w:val="91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lastRenderedPageBreak/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77A213A9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wpływ, segregacja i ewidencja korespondencji wpływającej z zewnątrz </w:t>
      </w:r>
      <w:r w:rsidR="000A769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wewnętrznej,</w:t>
      </w:r>
    </w:p>
    <w:p w14:paraId="291BC4C4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B71885">
      <w:pPr>
        <w:numPr>
          <w:ilvl w:val="0"/>
          <w:numId w:val="62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2E88468C" w:rsidR="002625A1" w:rsidRPr="00B71885" w:rsidRDefault="002625A1" w:rsidP="00904B5C">
      <w:pPr>
        <w:pStyle w:val="Nagwek3"/>
      </w:pPr>
      <w:bookmarkStart w:id="114" w:name="_Toc57798207"/>
      <w:bookmarkStart w:id="115" w:name="_Toc104553170"/>
      <w:r w:rsidRPr="00B71885">
        <w:t>BIURO PROMOCJI I REKRUTACJI</w:t>
      </w:r>
      <w:bookmarkEnd w:id="114"/>
      <w:bookmarkEnd w:id="115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zdobywanie prestiżowych nagród i wyróżnień,</w:t>
      </w:r>
    </w:p>
    <w:p w14:paraId="1AE319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 konferencji prasowych,</w:t>
      </w:r>
    </w:p>
    <w:p w14:paraId="446F3E7E" w14:textId="77777777" w:rsidR="002625A1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B71885">
      <w:pPr>
        <w:pStyle w:val="Akapitzlist"/>
        <w:numPr>
          <w:ilvl w:val="0"/>
          <w:numId w:val="134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B71885">
      <w:pPr>
        <w:pStyle w:val="Tekstpodstawowy"/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6" w:name="_Toc14031475"/>
      <w:bookmarkStart w:id="117" w:name="_Toc57798208"/>
      <w:bookmarkStart w:id="118" w:name="_Toc104553171"/>
      <w:r w:rsidRPr="00B71885">
        <w:t>SEKCJA DS. ZINTEGROWANEGO SYSTEMU ZARZĄDZANIA UCZELNIĄ</w:t>
      </w:r>
      <w:bookmarkEnd w:id="116"/>
      <w:bookmarkEnd w:id="117"/>
      <w:bookmarkEnd w:id="118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rejestrowanie błędów i monitorowanie realizacji zgłoszeń serwisowych,</w:t>
      </w:r>
    </w:p>
    <w:p w14:paraId="6236A63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B71885">
      <w:pPr>
        <w:numPr>
          <w:ilvl w:val="0"/>
          <w:numId w:val="102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5C708484" w14:textId="66A03CD7" w:rsidR="001D57C0" w:rsidRPr="00B71885" w:rsidRDefault="007B5FE0" w:rsidP="00904B5C">
      <w:pPr>
        <w:pStyle w:val="Nagwek3"/>
      </w:pPr>
      <w:bookmarkStart w:id="119" w:name="_Toc57798209"/>
      <w:bookmarkStart w:id="120" w:name="_Toc104553172"/>
      <w:r w:rsidRPr="00B71885">
        <w:t xml:space="preserve">INNE </w:t>
      </w:r>
      <w:r w:rsidR="001D57C0" w:rsidRPr="00B71885">
        <w:t>JEDNOSTKI</w:t>
      </w:r>
      <w:bookmarkEnd w:id="119"/>
      <w:bookmarkEnd w:id="120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0C29FA12" w:rsidR="007653F7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1B6FBDE6" w:rsidR="009A2DDD" w:rsidRPr="00B71885" w:rsidRDefault="00DF10D7" w:rsidP="00904B5C">
      <w:pPr>
        <w:pStyle w:val="Nagwek2"/>
      </w:pPr>
      <w:bookmarkStart w:id="121" w:name="_Toc57798210"/>
      <w:bookmarkStart w:id="122" w:name="_Toc104553173"/>
      <w:r w:rsidRPr="00B71885"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1"/>
      <w:bookmarkEnd w:id="122"/>
    </w:p>
    <w:p w14:paraId="25EC9271" w14:textId="1D6215A3" w:rsidR="001D57C0" w:rsidRPr="00B71885" w:rsidRDefault="001D57C0" w:rsidP="00904B5C">
      <w:pPr>
        <w:pStyle w:val="Nagwek3"/>
      </w:pPr>
      <w:bookmarkStart w:id="123" w:name="_Toc57798211"/>
      <w:bookmarkStart w:id="124" w:name="_Toc104553174"/>
      <w:r w:rsidRPr="00B71885">
        <w:t>DZIAŁ INWESTYCJI</w:t>
      </w:r>
      <w:bookmarkEnd w:id="123"/>
      <w:bookmarkEnd w:id="124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lastRenderedPageBreak/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ryzyk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18593716" w14:textId="40880703" w:rsidR="002621D2" w:rsidRPr="00B71885" w:rsidRDefault="002621D2" w:rsidP="00904B5C">
      <w:pPr>
        <w:pStyle w:val="Nagwek3"/>
      </w:pPr>
      <w:bookmarkStart w:id="125" w:name="_Toc57798212"/>
      <w:bookmarkStart w:id="126" w:name="_Toc104553175"/>
      <w:r w:rsidRPr="00B71885">
        <w:t>DZIAŁ KONSERWACJI I EKSPLOATACJI</w:t>
      </w:r>
      <w:bookmarkEnd w:id="125"/>
      <w:bookmarkEnd w:id="126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zapotrzebowań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7" w:name="_Toc57798213"/>
      <w:bookmarkStart w:id="128" w:name="_Toc104553176"/>
      <w:r w:rsidRPr="00B71885">
        <w:t>DZIAŁ ZAOPATRZENIA</w:t>
      </w:r>
      <w:bookmarkEnd w:id="127"/>
      <w:bookmarkEnd w:id="128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 xml:space="preserve">i paszy, papieru i artykułów biurowych, szkła laboratoryjnego, drobnego sprzętu laboratoryjnego, odczynników chemicznych na podstawie </w:t>
      </w:r>
      <w:proofErr w:type="spellStart"/>
      <w:r w:rsidRPr="00B71885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71885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 butli ciśnieniowych z gazami technicznymi,</w:t>
      </w:r>
    </w:p>
    <w:p w14:paraId="06D698F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B71885">
      <w:pPr>
        <w:numPr>
          <w:ilvl w:val="0"/>
          <w:numId w:val="98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0FEF100" w14:textId="0ED25A31" w:rsidR="009A2DDD" w:rsidRPr="00B71885" w:rsidRDefault="009A2DDD" w:rsidP="00904B5C">
      <w:pPr>
        <w:pStyle w:val="Nagwek2"/>
      </w:pPr>
      <w:bookmarkStart w:id="129" w:name="_Toc57798214"/>
      <w:bookmarkStart w:id="130" w:name="_Toc104553177"/>
      <w:r w:rsidRPr="00B71885"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29"/>
      <w:bookmarkEnd w:id="130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1" w:name="_Toc57798215"/>
      <w:bookmarkStart w:id="132" w:name="_Toc104553178"/>
      <w:r w:rsidRPr="00B71885">
        <w:t>KWESTURA</w:t>
      </w:r>
      <w:bookmarkEnd w:id="131"/>
      <w:bookmarkEnd w:id="132"/>
    </w:p>
    <w:p w14:paraId="0AF0AE99" w14:textId="732999DB" w:rsidR="00AE35BE" w:rsidRPr="00B71885" w:rsidRDefault="00AE35BE" w:rsidP="00904B5C">
      <w:pPr>
        <w:pStyle w:val="Nagwek3"/>
      </w:pPr>
      <w:bookmarkStart w:id="133" w:name="_Toc57798216"/>
      <w:bookmarkStart w:id="134" w:name="_Toc104553179"/>
      <w:r w:rsidRPr="00B71885">
        <w:t>ZASTĘPCA KWESTORA</w:t>
      </w:r>
      <w:bookmarkEnd w:id="133"/>
      <w:bookmarkEnd w:id="134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71885" w:rsidRDefault="00AE35BE" w:rsidP="00B71885">
      <w:pPr>
        <w:numPr>
          <w:ilvl w:val="0"/>
          <w:numId w:val="139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5" w:name="_Toc104553180"/>
      <w:r w:rsidRPr="00B71885">
        <w:t>SEKCJA KOSZTÓW I ANALIZ</w:t>
      </w:r>
      <w:bookmarkEnd w:id="135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Rozliczanie finansowe organizowanych przez Uczelnię konferencji i kursów specjalizacyjnych.</w:t>
      </w:r>
    </w:p>
    <w:p w14:paraId="2328C501" w14:textId="221DF014" w:rsidR="00AE35BE" w:rsidRPr="00F821EE" w:rsidRDefault="00AE35BE" w:rsidP="00904B5C">
      <w:pPr>
        <w:pStyle w:val="Nagwek3"/>
      </w:pPr>
      <w:bookmarkStart w:id="136" w:name="_Toc57798217"/>
      <w:bookmarkStart w:id="137" w:name="_Toc104553181"/>
      <w:r w:rsidRPr="00F821EE">
        <w:t>SEKCJA ROZLICZEŃ PROJEKTÓW</w:t>
      </w:r>
      <w:bookmarkEnd w:id="136"/>
      <w:bookmarkEnd w:id="137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B71885">
      <w:pPr>
        <w:numPr>
          <w:ilvl w:val="0"/>
          <w:numId w:val="13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8" w:name="_Toc13230575"/>
      <w:bookmarkStart w:id="139" w:name="_Toc104553182"/>
      <w:r w:rsidRPr="00B71885">
        <w:t>SEKCJA INWENTARYZACJI I EWIDENCJI MAJĄTKU</w:t>
      </w:r>
      <w:bookmarkEnd w:id="138"/>
      <w:bookmarkEnd w:id="139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Nadawanie cech inwentarzowych nowym składnikom majątku i uzupełnianie brakujących.</w:t>
      </w:r>
    </w:p>
    <w:p w14:paraId="45C35B6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Ewidencja dokumentów likwidacji i zmian miejsca użytkowania oraz osób odpowiedzialnych.</w:t>
      </w:r>
    </w:p>
    <w:p w14:paraId="729644D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1FEDA85E" w:rsidR="00302EF3" w:rsidRPr="00B71885" w:rsidRDefault="00302EF3" w:rsidP="00904B5C">
      <w:pPr>
        <w:pStyle w:val="Nagwek3"/>
      </w:pPr>
      <w:bookmarkStart w:id="140" w:name="_Toc57798218"/>
      <w:bookmarkStart w:id="141" w:name="_Toc104553183"/>
      <w:r w:rsidRPr="00B71885">
        <w:t>DZIAŁ FINANSOWO-KSIĘGOWY</w:t>
      </w:r>
      <w:bookmarkEnd w:id="140"/>
      <w:bookmarkEnd w:id="141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Pr="00B71885">
        <w:rPr>
          <w:rFonts w:asciiTheme="minorHAnsi" w:hAnsiTheme="minorHAnsi" w:cstheme="minorHAnsi"/>
        </w:rPr>
        <w:t>niskocennych</w:t>
      </w:r>
      <w:proofErr w:type="spellEnd"/>
      <w:r w:rsidRPr="00B71885">
        <w:rPr>
          <w:rFonts w:asciiTheme="minorHAnsi" w:hAnsiTheme="minorHAnsi" w:cstheme="minorHAnsi"/>
        </w:rPr>
        <w:t>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508A282C" w:rsidR="00F35518" w:rsidRPr="00B71885" w:rsidRDefault="00F35518" w:rsidP="00B71885">
      <w:pPr>
        <w:numPr>
          <w:ilvl w:val="0"/>
          <w:numId w:val="100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tzw. progów statystycznych wartości wymiany towarowej z krajami Unii Europejskiej, ustalanych </w:t>
      </w:r>
      <w:r w:rsidR="000C001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ogłaszanych przez Prezesa Głównego Urzędu Statystycznego, po przekroczeniu których Uniwersytet Medyczny w Białymstoku zobowiązany jest do sporządzania deklaracji INTRASTAT.</w:t>
      </w:r>
    </w:p>
    <w:p w14:paraId="03268280" w14:textId="2F55C31C" w:rsidR="00302EF3" w:rsidRPr="00B71885" w:rsidRDefault="00302EF3" w:rsidP="00904B5C">
      <w:pPr>
        <w:pStyle w:val="Nagwek3"/>
      </w:pPr>
      <w:bookmarkStart w:id="142" w:name="_Toc57798219"/>
      <w:bookmarkStart w:id="143" w:name="_Toc104553184"/>
      <w:r w:rsidRPr="00B71885">
        <w:t>DZIAŁ PŁAC</w:t>
      </w:r>
      <w:bookmarkEnd w:id="142"/>
      <w:bookmarkEnd w:id="143"/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7CC65033" w14:textId="77777777" w:rsidR="000B0BF7" w:rsidRPr="00B71885" w:rsidRDefault="000B0BF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 podstawowych zadań Działu Płac należy:</w:t>
      </w:r>
    </w:p>
    <w:p w14:paraId="5EFFA51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Przygotowywanie i sporządzanie list wynagrodzeń pracownikom Uczelni </w:t>
      </w:r>
      <w:r w:rsidR="000D158A" w:rsidRPr="00B71885">
        <w:rPr>
          <w:rFonts w:asciiTheme="minorHAnsi" w:hAnsiTheme="minorHAnsi" w:cstheme="minorHAnsi"/>
        </w:rPr>
        <w:t>oraz</w:t>
      </w:r>
      <w:r w:rsidRPr="00B71885">
        <w:rPr>
          <w:rFonts w:asciiTheme="minorHAnsi" w:hAnsiTheme="minorHAnsi" w:cstheme="minorHAnsi"/>
        </w:rPr>
        <w:t xml:space="preserve"> osobom </w:t>
      </w:r>
      <w:r w:rsidR="000D158A" w:rsidRPr="00B71885">
        <w:rPr>
          <w:rFonts w:asciiTheme="minorHAnsi" w:hAnsiTheme="minorHAnsi" w:cstheme="minorHAnsi"/>
        </w:rPr>
        <w:t>niebędącym pracownikami Uczelni</w:t>
      </w:r>
      <w:r w:rsidRPr="00B71885">
        <w:rPr>
          <w:rFonts w:asciiTheme="minorHAnsi" w:hAnsiTheme="minorHAnsi" w:cstheme="minorHAnsi"/>
        </w:rPr>
        <w:t xml:space="preserve"> z tytułu umów cywilnoprawnych. </w:t>
      </w:r>
    </w:p>
    <w:p w14:paraId="106C76C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Dokonywanie potrąceń obowiązkowych i dobrowolnych  na listach wynagrodzeń.</w:t>
      </w:r>
    </w:p>
    <w:p w14:paraId="2C15CF4B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danych do przelewów:</w:t>
      </w:r>
    </w:p>
    <w:p w14:paraId="5BBE3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tytułu wynagrodzeń pracowników,</w:t>
      </w:r>
    </w:p>
    <w:p w14:paraId="2AF6E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tytułu potrąceń dokonywanych na listach płac.</w:t>
      </w:r>
    </w:p>
    <w:p w14:paraId="5CAEA96B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Naliczanie i wypłata dodatkowego wynagrodzenia rocznego.</w:t>
      </w:r>
    </w:p>
    <w:p w14:paraId="33A6440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  <w:bCs/>
        </w:rPr>
        <w:t xml:space="preserve">głaszanie do ubezpieczenia i wyrejestrowywanie z ubezpieczenia osób z tytułu zawartych umów cywilno-prawnych, </w:t>
      </w:r>
      <w:r w:rsidRPr="00B71885">
        <w:rPr>
          <w:rFonts w:asciiTheme="minorHAnsi" w:hAnsiTheme="minorHAnsi" w:cstheme="minorHAnsi"/>
        </w:rPr>
        <w:t>studentów i doktorantów powyżej 26 roku życia oraz członków ich rodzin z określeniem wysokości składek zdrowotnych.</w:t>
      </w:r>
    </w:p>
    <w:p w14:paraId="0C8D092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rozliczeń z Zakładem Ubezpieczeń Społecznych i Urzędem Skarbowym. </w:t>
      </w:r>
    </w:p>
    <w:p w14:paraId="19A3F422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Rozliczanie zgodnie z ogólnie obowiązującymi przepisami w zakresie ubezpieczeń społecznych i podatku dochodowego od osób fizycznych z uwzględnieniem przepisów </w:t>
      </w:r>
      <w:r w:rsidRPr="00B71885">
        <w:rPr>
          <w:rFonts w:asciiTheme="minorHAnsi" w:hAnsiTheme="minorHAnsi" w:cstheme="minorHAnsi"/>
          <w:sz w:val="24"/>
          <w:szCs w:val="24"/>
        </w:rPr>
        <w:br/>
        <w:t>w zakresie podwójnego opodatkowania i zwolnienie z obowiązku oskładkowania wynagrodzenia.</w:t>
      </w:r>
    </w:p>
    <w:p w14:paraId="41D97838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Naliczanie wynagrodzeń obcokrajowcom w walutach obcych.</w:t>
      </w:r>
    </w:p>
    <w:p w14:paraId="4EE5DB34" w14:textId="7913AFC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Sporządzanie list refundacji i list wypłat wynagrodzeń pracownikom </w:t>
      </w:r>
      <w:r w:rsidR="000D158A" w:rsidRPr="00B71885">
        <w:rPr>
          <w:rFonts w:asciiTheme="minorHAnsi" w:hAnsiTheme="minorHAnsi" w:cstheme="minorHAnsi"/>
          <w:sz w:val="24"/>
          <w:szCs w:val="24"/>
        </w:rPr>
        <w:t>U</w:t>
      </w:r>
      <w:r w:rsidR="005115D7" w:rsidRPr="00B71885">
        <w:rPr>
          <w:rFonts w:asciiTheme="minorHAnsi" w:hAnsiTheme="minorHAnsi" w:cstheme="minorHAnsi"/>
          <w:sz w:val="24"/>
          <w:szCs w:val="24"/>
        </w:rPr>
        <w:t>czelni pracującym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rzecz programów unijnych.</w:t>
      </w:r>
    </w:p>
    <w:p w14:paraId="6317321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Pełna obsłu</w:t>
      </w:r>
      <w:r w:rsidR="000D158A" w:rsidRPr="00B71885">
        <w:rPr>
          <w:rFonts w:asciiTheme="minorHAnsi" w:hAnsiTheme="minorHAnsi" w:cstheme="minorHAnsi"/>
          <w:sz w:val="24"/>
          <w:szCs w:val="24"/>
        </w:rPr>
        <w:t>ga pracowników mających status r</w:t>
      </w:r>
      <w:r w:rsidRPr="00B71885">
        <w:rPr>
          <w:rFonts w:asciiTheme="minorHAnsi" w:hAnsiTheme="minorHAnsi" w:cstheme="minorHAnsi"/>
          <w:sz w:val="24"/>
          <w:szCs w:val="24"/>
        </w:rPr>
        <w:t>ezydenta w ramach środków przeznaczonych przez Ministerstwo Zdrowia.</w:t>
      </w:r>
    </w:p>
    <w:p w14:paraId="0BE9217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rocznej informacji o uzyskanych przychodach ze stosunku pracy z tytułu korzystania z praw autorskich nauczycieli akademickich zgodnie z obowiązującymi przepisami.</w:t>
      </w:r>
    </w:p>
    <w:p w14:paraId="09B5201B" w14:textId="06EB1C5F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Wystawianie pracownikom i byłym pracownikom oraz organowi rentowemu zaświadczeń o wysokości wynagrodzeń oraz zaświadczeń o zatrudnieniu i wynagrodzeniu tzw. Rp7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niezbędnego do ustalenia prawa do świadczeń z ubezpieczenia społecznego.</w:t>
      </w:r>
    </w:p>
    <w:p w14:paraId="049D71CC" w14:textId="73082A16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naliczaniu i rozliczaniu wynagro</w:t>
      </w:r>
      <w:r w:rsidR="000D158A" w:rsidRPr="00B71885">
        <w:rPr>
          <w:rFonts w:asciiTheme="minorHAnsi" w:hAnsiTheme="minorHAnsi" w:cstheme="minorHAnsi"/>
          <w:sz w:val="24"/>
          <w:szCs w:val="24"/>
        </w:rPr>
        <w:t>dzeń z poszczególnymi działami U</w:t>
      </w:r>
      <w:r w:rsidRPr="00B71885">
        <w:rPr>
          <w:rFonts w:asciiTheme="minorHAnsi" w:hAnsiTheme="minorHAnsi" w:cstheme="minorHAnsi"/>
          <w:sz w:val="24"/>
          <w:szCs w:val="24"/>
        </w:rPr>
        <w:t xml:space="preserve">czelni. </w:t>
      </w:r>
    </w:p>
    <w:p w14:paraId="0F246D30" w14:textId="1BBD9860" w:rsidR="0022039F" w:rsidRPr="00B71885" w:rsidRDefault="000B0BF7" w:rsidP="00B71885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Planowanie osobowe</w:t>
      </w:r>
      <w:r w:rsidR="005115D7" w:rsidRPr="00B71885">
        <w:rPr>
          <w:rFonts w:asciiTheme="minorHAnsi" w:hAnsiTheme="minorHAnsi" w:cstheme="minorHAnsi"/>
          <w:sz w:val="24"/>
          <w:szCs w:val="24"/>
        </w:rPr>
        <w:t>go i bezosobowego funduszu płac</w:t>
      </w:r>
      <w:r w:rsidRPr="00B71885">
        <w:rPr>
          <w:rFonts w:asciiTheme="minorHAnsi" w:hAnsiTheme="minorHAnsi" w:cstheme="minorHAnsi"/>
          <w:sz w:val="24"/>
          <w:szCs w:val="24"/>
        </w:rPr>
        <w:t xml:space="preserve"> oraz bieżąca kontrola i analiza wykonania.</w:t>
      </w:r>
    </w:p>
    <w:p w14:paraId="00F54471" w14:textId="61D560A2" w:rsidR="00880677" w:rsidRPr="00B71885" w:rsidRDefault="0022039F" w:rsidP="00B71885">
      <w:pPr>
        <w:pStyle w:val="Nagwek1"/>
      </w:pPr>
      <w:bookmarkStart w:id="144" w:name="_Toc57798220"/>
      <w:bookmarkStart w:id="145" w:name="_Toc104553185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4"/>
      <w:bookmarkEnd w:id="145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3D655622" w:rsidR="00880677" w:rsidRPr="00B71885" w:rsidRDefault="00880677" w:rsidP="00B71885">
      <w:pPr>
        <w:pStyle w:val="Nagwek1"/>
      </w:pPr>
      <w:bookmarkStart w:id="146" w:name="_Toc57798221"/>
      <w:bookmarkStart w:id="147" w:name="_Toc104553186"/>
      <w:r w:rsidRPr="00B71885"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6"/>
      <w:bookmarkEnd w:id="147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8" w:name="_Toc57798222"/>
      <w:bookmarkStart w:id="149" w:name="_Toc104553187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8"/>
      <w:bookmarkEnd w:id="149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F58A83B" w14:textId="506AD9D9" w:rsidR="00880677" w:rsidRPr="00B71885" w:rsidRDefault="00880677" w:rsidP="00904B5C">
      <w:pPr>
        <w:pStyle w:val="Nagwek2"/>
      </w:pPr>
      <w:bookmarkStart w:id="150" w:name="_Toc57798223"/>
      <w:bookmarkStart w:id="151" w:name="_Toc104553188"/>
      <w:r w:rsidRPr="00B71885"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50"/>
      <w:bookmarkEnd w:id="151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159DB9A8" w14:textId="77777777" w:rsidR="00277706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</w:p>
    <w:p w14:paraId="4B696E16" w14:textId="77777777" w:rsidR="004827E0" w:rsidRDefault="004827E0" w:rsidP="00B71885">
      <w:pPr>
        <w:pStyle w:val="Nagwek1"/>
      </w:pPr>
      <w:bookmarkStart w:id="152" w:name="_Toc57798224"/>
      <w:r>
        <w:br w:type="page"/>
      </w:r>
    </w:p>
    <w:p w14:paraId="73587DBC" w14:textId="13FF7CF5" w:rsidR="0040140C" w:rsidRPr="00B71885" w:rsidRDefault="0040140C" w:rsidP="00B71885">
      <w:pPr>
        <w:pStyle w:val="Nagwek1"/>
      </w:pPr>
      <w:bookmarkStart w:id="153" w:name="_Toc104553189"/>
      <w:r w:rsidRPr="00B71885">
        <w:lastRenderedPageBreak/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2"/>
      <w:bookmarkEnd w:id="153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4" w:name="_Toc57798225"/>
      <w:bookmarkStart w:id="155" w:name="_Toc104553190"/>
      <w:r w:rsidRPr="00B71885">
        <w:t>ROZDZIAŁ I PODPISYWANIE PISM</w:t>
      </w:r>
      <w:bookmarkEnd w:id="154"/>
      <w:bookmarkEnd w:id="155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71885">
        <w:rPr>
          <w:rFonts w:asciiTheme="minorHAnsi" w:hAnsiTheme="minorHAnsi" w:cstheme="minorHAnsi"/>
        </w:rPr>
        <w:t>wz</w:t>
      </w:r>
      <w:proofErr w:type="spellEnd"/>
      <w:r w:rsidRPr="00B71885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08F53A21" w14:textId="77777777" w:rsidR="004827E0" w:rsidRDefault="004827E0" w:rsidP="00904B5C">
      <w:pPr>
        <w:pStyle w:val="Nagwek2"/>
      </w:pPr>
      <w:bookmarkStart w:id="156" w:name="_Toc57798226"/>
      <w:r>
        <w:br w:type="page"/>
      </w:r>
    </w:p>
    <w:p w14:paraId="6932F662" w14:textId="0EB676B8" w:rsidR="00880677" w:rsidRPr="00B71885" w:rsidRDefault="0046375D" w:rsidP="00904B5C">
      <w:pPr>
        <w:pStyle w:val="Nagwek2"/>
      </w:pPr>
      <w:bookmarkStart w:id="157" w:name="_Toc104553191"/>
      <w:r w:rsidRPr="00B71885">
        <w:lastRenderedPageBreak/>
        <w:t>ROZDZIAŁ I</w:t>
      </w:r>
      <w:r w:rsidR="00880677" w:rsidRPr="00B71885">
        <w:t>I ZAWIERANIE UMÓW</w:t>
      </w:r>
      <w:bookmarkEnd w:id="156"/>
      <w:bookmarkEnd w:id="157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8" w:name="_Toc57798227"/>
      <w:bookmarkStart w:id="159" w:name="_Toc104553192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8"/>
      <w:bookmarkEnd w:id="159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B71885">
      <w:pPr>
        <w:pStyle w:val="Akapitzlist"/>
        <w:numPr>
          <w:ilvl w:val="2"/>
          <w:numId w:val="11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B71885">
      <w:pPr>
        <w:pStyle w:val="Akapitzlist"/>
        <w:numPr>
          <w:ilvl w:val="2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60" w:name="_Toc57798228"/>
      <w:bookmarkStart w:id="161" w:name="_Toc104553193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60"/>
      <w:bookmarkEnd w:id="161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D982" w14:textId="77777777" w:rsidR="007E48B6" w:rsidRDefault="007E48B6">
      <w:r>
        <w:separator/>
      </w:r>
    </w:p>
    <w:p w14:paraId="601010BD" w14:textId="77777777" w:rsidR="007E48B6" w:rsidRDefault="007E48B6"/>
  </w:endnote>
  <w:endnote w:type="continuationSeparator" w:id="0">
    <w:p w14:paraId="504B522D" w14:textId="77777777" w:rsidR="007E48B6" w:rsidRDefault="007E48B6">
      <w:r>
        <w:continuationSeparator/>
      </w:r>
    </w:p>
    <w:p w14:paraId="749C7165" w14:textId="77777777" w:rsidR="007E48B6" w:rsidRDefault="007E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4827E0" w:rsidRDefault="004827E0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4827E0" w:rsidRDefault="004827E0">
    <w:pPr>
      <w:pStyle w:val="Stopka"/>
      <w:ind w:right="360"/>
    </w:pPr>
  </w:p>
  <w:p w14:paraId="4747907D" w14:textId="77777777" w:rsidR="004827E0" w:rsidRDefault="004827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21F1B51F" w:rsidR="004827E0" w:rsidRPr="00750D8A" w:rsidRDefault="004827E0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084D8E">
      <w:rPr>
        <w:rStyle w:val="Numerstrony"/>
        <w:rFonts w:asciiTheme="minorHAnsi" w:hAnsiTheme="minorHAnsi" w:cstheme="minorHAnsi"/>
        <w:noProof/>
        <w:sz w:val="20"/>
      </w:rPr>
      <w:t>68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4827E0" w:rsidRPr="00750D8A" w:rsidRDefault="004827E0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4827E0" w:rsidRPr="00750D8A" w:rsidRDefault="004827E0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4827E0" w:rsidRDefault="004827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400F" w14:textId="77777777" w:rsidR="007E48B6" w:rsidRDefault="007E48B6">
      <w:r>
        <w:separator/>
      </w:r>
    </w:p>
    <w:p w14:paraId="01A84BCE" w14:textId="77777777" w:rsidR="007E48B6" w:rsidRDefault="007E48B6"/>
  </w:footnote>
  <w:footnote w:type="continuationSeparator" w:id="0">
    <w:p w14:paraId="73A1D5A8" w14:textId="77777777" w:rsidR="007E48B6" w:rsidRDefault="007E48B6">
      <w:r>
        <w:continuationSeparator/>
      </w:r>
    </w:p>
    <w:p w14:paraId="228E710D" w14:textId="77777777" w:rsidR="007E48B6" w:rsidRDefault="007E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4827E0" w:rsidRDefault="004827E0"/>
  <w:p w14:paraId="07BB8F92" w14:textId="77777777" w:rsidR="004827E0" w:rsidRDefault="004827E0"/>
  <w:p w14:paraId="417F9201" w14:textId="77777777" w:rsidR="004827E0" w:rsidRDefault="004827E0"/>
  <w:p w14:paraId="56111285" w14:textId="77777777" w:rsidR="004827E0" w:rsidRDefault="004827E0"/>
  <w:p w14:paraId="68005035" w14:textId="77777777" w:rsidR="004827E0" w:rsidRDefault="004827E0"/>
  <w:p w14:paraId="6F11DD90" w14:textId="77777777" w:rsidR="004827E0" w:rsidRDefault="004827E0"/>
  <w:p w14:paraId="39819032" w14:textId="77777777" w:rsidR="004827E0" w:rsidRDefault="00482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C54E8C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8749BD"/>
    <w:multiLevelType w:val="hybridMultilevel"/>
    <w:tmpl w:val="FC920310"/>
    <w:lvl w:ilvl="0" w:tplc="FF6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9A321D"/>
    <w:multiLevelType w:val="hybridMultilevel"/>
    <w:tmpl w:val="B1B613BC"/>
    <w:lvl w:ilvl="0" w:tplc="88F0F4E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E903FE"/>
    <w:multiLevelType w:val="hybridMultilevel"/>
    <w:tmpl w:val="BB98295C"/>
    <w:lvl w:ilvl="0" w:tplc="0A0CB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4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6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7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9C2BA7"/>
    <w:multiLevelType w:val="hybridMultilevel"/>
    <w:tmpl w:val="950A0D02"/>
    <w:lvl w:ilvl="0" w:tplc="583C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6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7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5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5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1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E033418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2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3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8"/>
  </w:num>
  <w:num w:numId="2">
    <w:abstractNumId w:val="73"/>
  </w:num>
  <w:num w:numId="3">
    <w:abstractNumId w:val="9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4"/>
  </w:num>
  <w:num w:numId="7">
    <w:abstractNumId w:val="125"/>
  </w:num>
  <w:num w:numId="8">
    <w:abstractNumId w:val="26"/>
  </w:num>
  <w:num w:numId="9">
    <w:abstractNumId w:val="124"/>
  </w:num>
  <w:num w:numId="10">
    <w:abstractNumId w:val="75"/>
  </w:num>
  <w:num w:numId="11">
    <w:abstractNumId w:val="147"/>
  </w:num>
  <w:num w:numId="12">
    <w:abstractNumId w:val="76"/>
  </w:num>
  <w:num w:numId="13">
    <w:abstractNumId w:val="90"/>
  </w:num>
  <w:num w:numId="14">
    <w:abstractNumId w:val="8"/>
  </w:num>
  <w:num w:numId="15">
    <w:abstractNumId w:val="164"/>
  </w:num>
  <w:num w:numId="16">
    <w:abstractNumId w:val="149"/>
  </w:num>
  <w:num w:numId="17">
    <w:abstractNumId w:val="106"/>
  </w:num>
  <w:num w:numId="18">
    <w:abstractNumId w:val="11"/>
  </w:num>
  <w:num w:numId="19">
    <w:abstractNumId w:val="103"/>
  </w:num>
  <w:num w:numId="20">
    <w:abstractNumId w:val="72"/>
  </w:num>
  <w:num w:numId="21">
    <w:abstractNumId w:val="21"/>
  </w:num>
  <w:num w:numId="22">
    <w:abstractNumId w:val="54"/>
  </w:num>
  <w:num w:numId="23">
    <w:abstractNumId w:val="4"/>
  </w:num>
  <w:num w:numId="24">
    <w:abstractNumId w:val="113"/>
  </w:num>
  <w:num w:numId="25">
    <w:abstractNumId w:val="89"/>
  </w:num>
  <w:num w:numId="26">
    <w:abstractNumId w:val="33"/>
  </w:num>
  <w:num w:numId="27">
    <w:abstractNumId w:val="0"/>
  </w:num>
  <w:num w:numId="28">
    <w:abstractNumId w:val="30"/>
  </w:num>
  <w:num w:numId="29">
    <w:abstractNumId w:val="58"/>
  </w:num>
  <w:num w:numId="30">
    <w:abstractNumId w:val="128"/>
  </w:num>
  <w:num w:numId="31">
    <w:abstractNumId w:val="165"/>
  </w:num>
  <w:num w:numId="32">
    <w:abstractNumId w:val="126"/>
  </w:num>
  <w:num w:numId="33">
    <w:abstractNumId w:val="102"/>
  </w:num>
  <w:num w:numId="34">
    <w:abstractNumId w:val="132"/>
  </w:num>
  <w:num w:numId="35">
    <w:abstractNumId w:val="24"/>
  </w:num>
  <w:num w:numId="36">
    <w:abstractNumId w:val="166"/>
  </w:num>
  <w:num w:numId="37">
    <w:abstractNumId w:val="10"/>
  </w:num>
  <w:num w:numId="38">
    <w:abstractNumId w:val="20"/>
  </w:num>
  <w:num w:numId="39">
    <w:abstractNumId w:val="16"/>
  </w:num>
  <w:num w:numId="40">
    <w:abstractNumId w:val="159"/>
  </w:num>
  <w:num w:numId="41">
    <w:abstractNumId w:val="23"/>
  </w:num>
  <w:num w:numId="42">
    <w:abstractNumId w:val="117"/>
  </w:num>
  <w:num w:numId="43">
    <w:abstractNumId w:val="134"/>
  </w:num>
  <w:num w:numId="44">
    <w:abstractNumId w:val="120"/>
  </w:num>
  <w:num w:numId="45">
    <w:abstractNumId w:val="31"/>
  </w:num>
  <w:num w:numId="46">
    <w:abstractNumId w:val="110"/>
  </w:num>
  <w:num w:numId="47">
    <w:abstractNumId w:val="37"/>
  </w:num>
  <w:num w:numId="48">
    <w:abstractNumId w:val="67"/>
  </w:num>
  <w:num w:numId="49">
    <w:abstractNumId w:val="145"/>
  </w:num>
  <w:num w:numId="50">
    <w:abstractNumId w:val="45"/>
  </w:num>
  <w:num w:numId="51">
    <w:abstractNumId w:val="127"/>
  </w:num>
  <w:num w:numId="52">
    <w:abstractNumId w:val="143"/>
  </w:num>
  <w:num w:numId="53">
    <w:abstractNumId w:val="66"/>
  </w:num>
  <w:num w:numId="54">
    <w:abstractNumId w:val="111"/>
  </w:num>
  <w:num w:numId="55">
    <w:abstractNumId w:val="82"/>
  </w:num>
  <w:num w:numId="56">
    <w:abstractNumId w:val="50"/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</w:num>
  <w:num w:numId="59">
    <w:abstractNumId w:val="112"/>
  </w:num>
  <w:num w:numId="60">
    <w:abstractNumId w:val="130"/>
  </w:num>
  <w:num w:numId="61">
    <w:abstractNumId w:val="25"/>
  </w:num>
  <w:num w:numId="62">
    <w:abstractNumId w:val="41"/>
  </w:num>
  <w:num w:numId="63">
    <w:abstractNumId w:val="163"/>
  </w:num>
  <w:num w:numId="64">
    <w:abstractNumId w:val="42"/>
  </w:num>
  <w:num w:numId="65">
    <w:abstractNumId w:val="79"/>
  </w:num>
  <w:num w:numId="66">
    <w:abstractNumId w:val="114"/>
  </w:num>
  <w:num w:numId="67">
    <w:abstractNumId w:val="53"/>
  </w:num>
  <w:num w:numId="68">
    <w:abstractNumId w:val="148"/>
  </w:num>
  <w:num w:numId="69">
    <w:abstractNumId w:val="123"/>
  </w:num>
  <w:num w:numId="70">
    <w:abstractNumId w:val="140"/>
  </w:num>
  <w:num w:numId="71">
    <w:abstractNumId w:val="12"/>
  </w:num>
  <w:num w:numId="72">
    <w:abstractNumId w:val="34"/>
  </w:num>
  <w:num w:numId="73">
    <w:abstractNumId w:val="160"/>
  </w:num>
  <w:num w:numId="74">
    <w:abstractNumId w:val="3"/>
  </w:num>
  <w:num w:numId="75">
    <w:abstractNumId w:val="9"/>
  </w:num>
  <w:num w:numId="76">
    <w:abstractNumId w:val="51"/>
  </w:num>
  <w:num w:numId="77">
    <w:abstractNumId w:val="158"/>
  </w:num>
  <w:num w:numId="78">
    <w:abstractNumId w:val="81"/>
  </w:num>
  <w:num w:numId="79">
    <w:abstractNumId w:val="153"/>
  </w:num>
  <w:num w:numId="80">
    <w:abstractNumId w:val="78"/>
  </w:num>
  <w:num w:numId="81">
    <w:abstractNumId w:val="55"/>
  </w:num>
  <w:num w:numId="82">
    <w:abstractNumId w:val="104"/>
  </w:num>
  <w:num w:numId="83">
    <w:abstractNumId w:val="52"/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3"/>
  </w:num>
  <w:num w:numId="91">
    <w:abstractNumId w:val="13"/>
  </w:num>
  <w:num w:numId="92">
    <w:abstractNumId w:val="38"/>
  </w:num>
  <w:num w:numId="93">
    <w:abstractNumId w:val="131"/>
  </w:num>
  <w:num w:numId="94">
    <w:abstractNumId w:val="129"/>
  </w:num>
  <w:num w:numId="95">
    <w:abstractNumId w:val="68"/>
  </w:num>
  <w:num w:numId="96">
    <w:abstractNumId w:val="19"/>
  </w:num>
  <w:num w:numId="97">
    <w:abstractNumId w:val="83"/>
  </w:num>
  <w:num w:numId="98">
    <w:abstractNumId w:val="27"/>
  </w:num>
  <w:num w:numId="99">
    <w:abstractNumId w:val="94"/>
  </w:num>
  <w:num w:numId="100">
    <w:abstractNumId w:val="92"/>
  </w:num>
  <w:num w:numId="101">
    <w:abstractNumId w:val="118"/>
  </w:num>
  <w:num w:numId="102">
    <w:abstractNumId w:val="109"/>
  </w:num>
  <w:num w:numId="103">
    <w:abstractNumId w:val="115"/>
  </w:num>
  <w:num w:numId="104">
    <w:abstractNumId w:val="122"/>
  </w:num>
  <w:num w:numId="105">
    <w:abstractNumId w:val="133"/>
  </w:num>
  <w:num w:numId="106">
    <w:abstractNumId w:val="59"/>
  </w:num>
  <w:num w:numId="107">
    <w:abstractNumId w:val="135"/>
  </w:num>
  <w:num w:numId="108">
    <w:abstractNumId w:val="108"/>
  </w:num>
  <w:num w:numId="109">
    <w:abstractNumId w:val="85"/>
  </w:num>
  <w:num w:numId="110">
    <w:abstractNumId w:val="155"/>
  </w:num>
  <w:num w:numId="111">
    <w:abstractNumId w:val="142"/>
  </w:num>
  <w:num w:numId="112">
    <w:abstractNumId w:val="107"/>
  </w:num>
  <w:num w:numId="113">
    <w:abstractNumId w:val="161"/>
  </w:num>
  <w:num w:numId="114">
    <w:abstractNumId w:val="22"/>
  </w:num>
  <w:num w:numId="115">
    <w:abstractNumId w:val="47"/>
  </w:num>
  <w:num w:numId="116">
    <w:abstractNumId w:val="48"/>
  </w:num>
  <w:num w:numId="117">
    <w:abstractNumId w:val="137"/>
  </w:num>
  <w:num w:numId="118">
    <w:abstractNumId w:val="80"/>
  </w:num>
  <w:num w:numId="119">
    <w:abstractNumId w:val="121"/>
  </w:num>
  <w:num w:numId="120">
    <w:abstractNumId w:val="43"/>
  </w:num>
  <w:num w:numId="121">
    <w:abstractNumId w:val="71"/>
  </w:num>
  <w:num w:numId="122">
    <w:abstractNumId w:val="154"/>
  </w:num>
  <w:num w:numId="123">
    <w:abstractNumId w:val="116"/>
  </w:num>
  <w:num w:numId="124">
    <w:abstractNumId w:val="29"/>
  </w:num>
  <w:num w:numId="125">
    <w:abstractNumId w:val="39"/>
  </w:num>
  <w:num w:numId="126">
    <w:abstractNumId w:val="156"/>
  </w:num>
  <w:num w:numId="127">
    <w:abstractNumId w:val="91"/>
  </w:num>
  <w:num w:numId="128">
    <w:abstractNumId w:val="87"/>
  </w:num>
  <w:num w:numId="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4"/>
  </w:num>
  <w:num w:numId="132">
    <w:abstractNumId w:val="70"/>
  </w:num>
  <w:num w:numId="133">
    <w:abstractNumId w:val="119"/>
  </w:num>
  <w:num w:numId="134">
    <w:abstractNumId w:val="35"/>
  </w:num>
  <w:num w:numId="135">
    <w:abstractNumId w:val="96"/>
  </w:num>
  <w:num w:numId="136">
    <w:abstractNumId w:val="99"/>
  </w:num>
  <w:num w:numId="137">
    <w:abstractNumId w:val="69"/>
  </w:num>
  <w:num w:numId="138">
    <w:abstractNumId w:val="65"/>
  </w:num>
  <w:num w:numId="139">
    <w:abstractNumId w:val="28"/>
  </w:num>
  <w:num w:numId="140">
    <w:abstractNumId w:val="15"/>
  </w:num>
  <w:num w:numId="141">
    <w:abstractNumId w:val="49"/>
  </w:num>
  <w:num w:numId="142">
    <w:abstractNumId w:val="162"/>
  </w:num>
  <w:num w:numId="143">
    <w:abstractNumId w:val="77"/>
  </w:num>
  <w:num w:numId="144">
    <w:abstractNumId w:val="136"/>
  </w:num>
  <w:num w:numId="145">
    <w:abstractNumId w:val="84"/>
  </w:num>
  <w:num w:numId="146">
    <w:abstractNumId w:val="40"/>
  </w:num>
  <w:num w:numId="147">
    <w:abstractNumId w:val="14"/>
  </w:num>
  <w:num w:numId="148">
    <w:abstractNumId w:val="139"/>
  </w:num>
  <w:num w:numId="149">
    <w:abstractNumId w:val="101"/>
  </w:num>
  <w:num w:numId="150">
    <w:abstractNumId w:val="7"/>
  </w:num>
  <w:num w:numId="151">
    <w:abstractNumId w:val="100"/>
  </w:num>
  <w:num w:numId="152">
    <w:abstractNumId w:val="97"/>
  </w:num>
  <w:num w:numId="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8"/>
  </w:num>
  <w:num w:numId="155">
    <w:abstractNumId w:val="60"/>
  </w:num>
  <w:num w:numId="156">
    <w:abstractNumId w:val="2"/>
  </w:num>
  <w:num w:numId="157">
    <w:abstractNumId w:val="36"/>
  </w:num>
  <w:num w:numId="158">
    <w:abstractNumId w:val="150"/>
  </w:num>
  <w:num w:numId="159">
    <w:abstractNumId w:val="57"/>
  </w:num>
  <w:num w:numId="160">
    <w:abstractNumId w:val="157"/>
  </w:num>
  <w:num w:numId="161">
    <w:abstractNumId w:val="144"/>
  </w:num>
  <w:num w:numId="162">
    <w:abstractNumId w:val="17"/>
  </w:num>
  <w:num w:numId="163">
    <w:abstractNumId w:val="141"/>
  </w:num>
  <w:num w:numId="164">
    <w:abstractNumId w:val="151"/>
  </w:num>
  <w:num w:numId="165">
    <w:abstractNumId w:val="62"/>
  </w:num>
  <w:num w:numId="166">
    <w:abstractNumId w:val="18"/>
  </w:num>
  <w:num w:numId="167">
    <w:abstractNumId w:val="44"/>
  </w:num>
  <w:num w:numId="168">
    <w:abstractNumId w:val="32"/>
  </w:num>
  <w:num w:numId="169">
    <w:abstractNumId w:val="61"/>
  </w:num>
  <w:num w:numId="170">
    <w:abstractNumId w:val="152"/>
  </w:num>
  <w:num w:numId="171">
    <w:abstractNumId w:val="10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62F"/>
    <w:rsid w:val="00113868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7CE3"/>
    <w:rsid w:val="004106F1"/>
    <w:rsid w:val="00411B88"/>
    <w:rsid w:val="00411BC8"/>
    <w:rsid w:val="00411E81"/>
    <w:rsid w:val="004128A0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69C4"/>
    <w:rsid w:val="00A977AF"/>
    <w:rsid w:val="00A97A66"/>
    <w:rsid w:val="00AA03F4"/>
    <w:rsid w:val="00AA0521"/>
    <w:rsid w:val="00AA0AC1"/>
    <w:rsid w:val="00AA1A27"/>
    <w:rsid w:val="00AA1CED"/>
    <w:rsid w:val="00AA2C86"/>
    <w:rsid w:val="00AA3990"/>
    <w:rsid w:val="00AA3AE6"/>
    <w:rsid w:val="00AA4104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A39"/>
    <w:rsid w:val="00E51943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48FE"/>
    <w:rsid w:val="00F35518"/>
    <w:rsid w:val="00F35C5A"/>
    <w:rsid w:val="00F43F40"/>
    <w:rsid w:val="00F43FBA"/>
    <w:rsid w:val="00F44A02"/>
    <w:rsid w:val="00F47204"/>
    <w:rsid w:val="00F474DC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1E9F-A28C-4C3D-A6B7-D86242C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69</Pages>
  <Words>18945</Words>
  <Characters>113670</Characters>
  <Application>Microsoft Office Word</Application>
  <DocSecurity>0</DocSecurity>
  <Lines>947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t.j. Regulamin Organizacyjny UMB</vt:lpstr>
    </vt:vector>
  </TitlesOfParts>
  <Company/>
  <LinksUpToDate>false</LinksUpToDate>
  <CharactersWithSpaces>132351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44.2022 t.j. Regulamin Organizacyjny UMB</dc:title>
  <dc:subject/>
  <dc:creator>Sekcja ds. Organizacji i Kontroli</dc:creator>
  <cp:keywords/>
  <dc:description/>
  <cp:lastModifiedBy>Emilia Snarska</cp:lastModifiedBy>
  <cp:revision>5</cp:revision>
  <cp:lastPrinted>2022-05-27T12:12:00Z</cp:lastPrinted>
  <dcterms:created xsi:type="dcterms:W3CDTF">2022-04-25T11:35:00Z</dcterms:created>
  <dcterms:modified xsi:type="dcterms:W3CDTF">2022-05-27T12:12:00Z</dcterms:modified>
</cp:coreProperties>
</file>