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E64414" w:rsidRDefault="00443D28" w:rsidP="00781CD8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E64414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Załącznik nr 1 do Programu studiów na kierunku </w:t>
      </w:r>
      <w:r w:rsidR="00095986" w:rsidRPr="00E64414">
        <w:rPr>
          <w:rFonts w:ascii="Calibri" w:hAnsi="Calibri" w:cs="Calibri"/>
          <w:bCs/>
          <w:iCs/>
          <w:sz w:val="20"/>
          <w:szCs w:val="20"/>
          <w:lang w:eastAsia="pl-PL"/>
        </w:rPr>
        <w:t>Położnictwo</w:t>
      </w:r>
      <w:r w:rsidRPr="00E64414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studia </w:t>
      </w:r>
      <w:r w:rsidR="00095986" w:rsidRPr="00E64414">
        <w:rPr>
          <w:rFonts w:ascii="Calibri" w:hAnsi="Calibri" w:cs="Calibri"/>
          <w:bCs/>
          <w:iCs/>
          <w:sz w:val="20"/>
          <w:szCs w:val="20"/>
          <w:lang w:eastAsia="pl-PL"/>
        </w:rPr>
        <w:t>I</w:t>
      </w:r>
      <w:r w:rsidRPr="00E64414">
        <w:rPr>
          <w:rFonts w:ascii="Calibri" w:hAnsi="Calibri" w:cs="Calibri"/>
          <w:bCs/>
          <w:iCs/>
          <w:sz w:val="20"/>
          <w:szCs w:val="20"/>
          <w:lang w:eastAsia="pl-PL"/>
        </w:rPr>
        <w:t>I stopnia stacjonarne</w:t>
      </w:r>
      <w:r w:rsidR="00095986" w:rsidRPr="00E64414">
        <w:rPr>
          <w:rFonts w:ascii="Calibri" w:hAnsi="Calibri" w:cs="Calibri"/>
          <w:bCs/>
          <w:iCs/>
          <w:sz w:val="20"/>
          <w:szCs w:val="20"/>
          <w:lang w:eastAsia="pl-PL"/>
        </w:rPr>
        <w:t>/niestacjonarne</w:t>
      </w:r>
      <w:r w:rsidRPr="00E64414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dla cyklu kształcenia rozpoczynającego się w roku akademickim </w:t>
      </w:r>
      <w:r w:rsidR="00095986" w:rsidRPr="00E64414">
        <w:rPr>
          <w:rFonts w:ascii="Calibri" w:hAnsi="Calibri" w:cs="Calibri"/>
          <w:bCs/>
          <w:iCs/>
          <w:sz w:val="20"/>
          <w:szCs w:val="20"/>
          <w:lang w:eastAsia="pl-PL"/>
        </w:rPr>
        <w:t>2022/2023</w:t>
      </w:r>
      <w:r w:rsidR="00ED2620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095986" w:rsidRPr="00E64414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ED2620" w:rsidRPr="00ED262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stanowiącego załącznik </w:t>
      </w:r>
      <w:r w:rsidR="00DA535C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nr 13 </w:t>
      </w:r>
      <w:bookmarkStart w:id="0" w:name="_GoBack"/>
      <w:bookmarkEnd w:id="0"/>
      <w:r w:rsidR="00ED2620" w:rsidRPr="00ED2620">
        <w:rPr>
          <w:rFonts w:ascii="Calibri" w:hAnsi="Calibri" w:cs="Calibri"/>
          <w:bCs/>
          <w:iCs/>
          <w:sz w:val="20"/>
          <w:szCs w:val="20"/>
          <w:lang w:eastAsia="pl-PL"/>
        </w:rPr>
        <w:t>do Uchwały nr 171/2022 Senatu UMB z dnia 28.04.2022 r.</w:t>
      </w:r>
    </w:p>
    <w:p w:rsidR="0080003B" w:rsidRPr="00781CD8" w:rsidRDefault="009B68AC" w:rsidP="00781CD8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781CD8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781CD8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E64414" w:rsidRDefault="009B68AC" w:rsidP="00781CD8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E64414">
        <w:rPr>
          <w:rFonts w:ascii="Calibri" w:hAnsi="Calibri" w:cs="Calibri"/>
          <w:b/>
        </w:rPr>
        <w:t xml:space="preserve">dla cyklu kształcenia rozpoczynającego się w roku akademickim </w:t>
      </w:r>
      <w:r w:rsidR="00BF2575" w:rsidRPr="00E64414">
        <w:rPr>
          <w:rFonts w:ascii="Calibri" w:hAnsi="Calibri" w:cs="Calibri"/>
          <w:b/>
        </w:rPr>
        <w:t>2022/2023</w:t>
      </w:r>
    </w:p>
    <w:p w:rsidR="00EE7CBF" w:rsidRPr="00E64414" w:rsidRDefault="00EE7CBF" w:rsidP="00781CD8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E64414">
        <w:rPr>
          <w:rFonts w:ascii="Calibri" w:hAnsi="Calibri" w:cs="Calibri"/>
        </w:rPr>
        <w:t xml:space="preserve">Nazwa jednostki prowadzącej kierunek: </w:t>
      </w:r>
      <w:r w:rsidR="00FC089C" w:rsidRPr="00E64414">
        <w:rPr>
          <w:rFonts w:ascii="Calibri" w:hAnsi="Calibri" w:cs="Calibri"/>
        </w:rPr>
        <w:t>Wydział Nauk o Zdrowiu</w:t>
      </w:r>
    </w:p>
    <w:p w:rsidR="00BF2575" w:rsidRPr="00E64414" w:rsidRDefault="00EE7CBF" w:rsidP="00781CD8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E64414">
        <w:rPr>
          <w:rFonts w:ascii="Calibri" w:hAnsi="Calibri" w:cs="Calibri"/>
        </w:rPr>
        <w:t xml:space="preserve">Nazwa kierunku studiów: </w:t>
      </w:r>
      <w:r w:rsidR="00BF2575" w:rsidRPr="00DD423C">
        <w:rPr>
          <w:rFonts w:ascii="Calibri" w:hAnsi="Calibri" w:cs="Calibri"/>
          <w:b/>
          <w:sz w:val="22"/>
          <w:szCs w:val="22"/>
        </w:rPr>
        <w:t xml:space="preserve">POŁOŻNICTWO </w:t>
      </w:r>
    </w:p>
    <w:p w:rsidR="008D27C3" w:rsidRPr="00E64414" w:rsidRDefault="00BE2289" w:rsidP="00781CD8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E64414">
        <w:rPr>
          <w:rFonts w:ascii="Calibri" w:hAnsi="Calibri" w:cs="Calibri"/>
          <w:bCs/>
        </w:rPr>
        <w:t xml:space="preserve">Poziom Polskiej Ramy Kwalifikacji: </w:t>
      </w:r>
      <w:r w:rsidR="00BF2575" w:rsidRPr="00E64414">
        <w:rPr>
          <w:rFonts w:ascii="Calibri" w:hAnsi="Calibri" w:cs="Calibri"/>
        </w:rPr>
        <w:t>7</w:t>
      </w:r>
    </w:p>
    <w:p w:rsidR="002F19BB" w:rsidRPr="0080003B" w:rsidRDefault="008A0718" w:rsidP="00781CD8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:rsidR="00EE7CBF" w:rsidRPr="00857F68" w:rsidRDefault="0080003B" w:rsidP="00781CD8">
      <w:pPr>
        <w:pStyle w:val="Nagwek2"/>
      </w:pPr>
      <w:r w:rsidRPr="00857F68">
        <w:t>WIEDZA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ekty uczenia się Położnictwo studia II stopnia stacjonarne"/>
        <w:tblDescription w:val="kierunkowe efekty uczenia się w zakresie wiedzy"/>
      </w:tblPr>
      <w:tblGrid>
        <w:gridCol w:w="993"/>
        <w:gridCol w:w="4962"/>
        <w:gridCol w:w="2693"/>
        <w:gridCol w:w="2268"/>
      </w:tblGrid>
      <w:tr w:rsidR="00EE7CBF" w:rsidRPr="0080003B" w:rsidTr="00781CD8">
        <w:trPr>
          <w:cantSplit/>
          <w:tblHeader/>
        </w:trPr>
        <w:tc>
          <w:tcPr>
            <w:tcW w:w="993" w:type="dxa"/>
            <w:shd w:val="clear" w:color="auto" w:fill="auto"/>
          </w:tcPr>
          <w:p w:rsidR="00EE7CBF" w:rsidRPr="00E64414" w:rsidRDefault="00EE7CBF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E7CBF" w:rsidRPr="00E64414" w:rsidRDefault="00EE7CBF" w:rsidP="00781CD8">
            <w:pPr>
              <w:pStyle w:val="Bezodstpw"/>
              <w:spacing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EFEKT</w:t>
            </w:r>
            <w:r w:rsidR="005A744A" w:rsidRPr="00E64414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E64414">
              <w:rPr>
                <w:rFonts w:ascii="Calibri" w:hAnsi="Calibri" w:cs="Calibr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693" w:type="dxa"/>
          </w:tcPr>
          <w:p w:rsidR="00EE7CBF" w:rsidRPr="00E64414" w:rsidRDefault="00EE7CBF" w:rsidP="00781CD8">
            <w:pPr>
              <w:pStyle w:val="Bezodstpw"/>
              <w:spacing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E7CBF" w:rsidRPr="00E64414" w:rsidRDefault="00041C54" w:rsidP="00781CD8">
            <w:pPr>
              <w:pStyle w:val="Bezodstpw"/>
              <w:spacing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EE7CBF" w:rsidRPr="00E64414">
              <w:rPr>
                <w:rFonts w:ascii="Calibri" w:hAnsi="Calibri" w:cs="Calibr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E64414" w:rsidRDefault="00EE7CBF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A.W1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modele i podejścia stosowane w psychologii zdrowia;</w:t>
            </w:r>
          </w:p>
        </w:tc>
        <w:tc>
          <w:tcPr>
            <w:tcW w:w="2693" w:type="dxa"/>
          </w:tcPr>
          <w:p w:rsidR="00BF2575" w:rsidRPr="00E64414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A.W2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2693" w:type="dxa"/>
          </w:tcPr>
          <w:p w:rsidR="00BF2575" w:rsidRPr="00E64414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A.W3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teorie stresu psychologicznego, zależności między stresem a stanem zdrowia i innych psychologicznych determinantów zdrowia;</w:t>
            </w:r>
          </w:p>
        </w:tc>
        <w:tc>
          <w:tcPr>
            <w:tcW w:w="2693" w:type="dxa"/>
          </w:tcPr>
          <w:p w:rsidR="00BF2575" w:rsidRPr="00E64414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A.W4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podejście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salutogenetyczne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podmiotowych uwarunkowań optymalnego stanu zdrowia i podejście patogenetyczne uwarunkowane chorobą;</w:t>
            </w:r>
          </w:p>
        </w:tc>
        <w:tc>
          <w:tcPr>
            <w:tcW w:w="2693" w:type="dxa"/>
          </w:tcPr>
          <w:p w:rsidR="00BF2575" w:rsidRPr="00E64414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A.W5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procesy adaptacji człowieka do życia z przewlekłą chorobą i uwarunkowania tych procesów;</w:t>
            </w:r>
          </w:p>
        </w:tc>
        <w:tc>
          <w:tcPr>
            <w:tcW w:w="2693" w:type="dxa"/>
          </w:tcPr>
          <w:p w:rsidR="00BF2575" w:rsidRPr="00E64414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A.W6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skutki prawne zdarzeń medycznych;</w:t>
            </w:r>
          </w:p>
        </w:tc>
        <w:tc>
          <w:tcPr>
            <w:tcW w:w="2693" w:type="dxa"/>
          </w:tcPr>
          <w:p w:rsidR="00BF2575" w:rsidRPr="00E64414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A.W7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istotę błędów medycznych w położnictwie w kontekście niepowodzenia w działaniach terapeutyczno-pielęgnacyjnych;</w:t>
            </w:r>
          </w:p>
        </w:tc>
        <w:tc>
          <w:tcPr>
            <w:tcW w:w="2693" w:type="dxa"/>
          </w:tcPr>
          <w:p w:rsidR="00BF2575" w:rsidRPr="00E64414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A.W8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systemy ubezpieczeń w zakresie odpowiedzialności cywilnej;</w:t>
            </w:r>
          </w:p>
        </w:tc>
        <w:tc>
          <w:tcPr>
            <w:tcW w:w="2693" w:type="dxa"/>
          </w:tcPr>
          <w:p w:rsidR="00BF2575" w:rsidRPr="00E64414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A.W9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uwarunkowania prawne przetwarzania danych wrażliwych w systemie informacji w ochronie zdrowia;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A.W10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poziomy uprawnień do realizowania świadczeń zdrowotnych przez położną w odniesieniu do poziomów kwalifikacji;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A.W11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metody zarządzania w systemie ochrony zdrowia;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A.W12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zasady funkcjonowania organizacji i budowania struktur;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A.W13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pojęcie kultury organizacyjnej i czynniki ją determinujące;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A.W14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zasady świadczenia usług położniczych i sposób ich finansowania;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A.W15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style zarządzania i cechy współczesnego przywództwa;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A.W16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specyfikę funkcji kierowniczych, istotę delegowania zadań oraz proces i mechanizmy podejmowania decyzji;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A.W17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zasady zarządzania strategicznego, marketing usług zdrowotnych oraz segmentację rynku usług położniczych i zasady ich finansowania;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A.W18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zasady zarządzania zasobami ludzkimi i sposoby planowania rekrutacji kandydatów do pracy;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F2575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F2575" w:rsidRPr="00DD423C" w:rsidRDefault="00BF2575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A.W19</w:t>
            </w:r>
          </w:p>
        </w:tc>
        <w:tc>
          <w:tcPr>
            <w:tcW w:w="4962" w:type="dxa"/>
            <w:shd w:val="clear" w:color="auto" w:fill="auto"/>
          </w:tcPr>
          <w:p w:rsidR="00BF2575" w:rsidRPr="00DD423C" w:rsidRDefault="00BF2575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zakres obowiązków, odpowiedzialności i uprawnień zawodowych w zależności od zakresu kompetencji oraz uwarunkowania rozwoju zawodowego położnych;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F2575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F2575" w:rsidRPr="00DD423C" w:rsidRDefault="00BF2575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A.W20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naukowe podstawy ergonomii w środowisku pracy;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A.W21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istotę procesu zmian w organizacji oraz techniki organizatorskie i zarządzania;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A.W22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modele i strategie zarządzania jakością;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A.W23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modele opieki koordynowanej funkcjonujące w Polsce i w wybranych państwach na świecie, w szczególności opieki koordynowanej nad kobietą ciężarną;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A.W24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podstawowe pojęcia z zakresu dydaktyki medycznej;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A.W25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zasady przygotowania do działalności dydaktycznej;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A.W26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metody nauczania i środki dydaktyczne stosowane w kształceniu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przeddyplomowym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 podyplomowym;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A.W27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teorie i modele opieki w odniesieniu do wielokulturowości podopiecznych w opiece położniczo-neonatologicznej i ginekologicznej;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A.W28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religijne, kulturowe, etniczne i narodowe uwarunkowania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zachowań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zdrowotnych oraz komunikację międzykulturową w aspekcie zdrowia prokreacyjnego, macierzyństwa i ojcostwa;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 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A.W29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uwarunkowania społeczno-kulturowe i religijne w odniesieniu do opieki nad kobietą i jej rodziną.</w:t>
            </w:r>
          </w:p>
        </w:tc>
        <w:tc>
          <w:tcPr>
            <w:tcW w:w="2693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2803C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B.W1</w:t>
            </w:r>
          </w:p>
        </w:tc>
        <w:tc>
          <w:tcPr>
            <w:tcW w:w="4962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mechanizmy działania leków i ich przemiany w ustroju zależne od wieku i problemów zdrowotnych;</w:t>
            </w:r>
          </w:p>
        </w:tc>
        <w:tc>
          <w:tcPr>
            <w:tcW w:w="2693" w:type="dxa"/>
          </w:tcPr>
          <w:p w:rsidR="002803C4" w:rsidRPr="00E64414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medyczne</w:t>
            </w:r>
          </w:p>
        </w:tc>
        <w:tc>
          <w:tcPr>
            <w:tcW w:w="2268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803C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B.W2</w:t>
            </w:r>
          </w:p>
        </w:tc>
        <w:tc>
          <w:tcPr>
            <w:tcW w:w="4962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regulacje prawne związane z odpłatnością za leki oraz refundacją środków spożywczych specjalnego przeznaczenia żywieniowego i wyrobów medycznych;</w:t>
            </w:r>
          </w:p>
        </w:tc>
        <w:tc>
          <w:tcPr>
            <w:tcW w:w="2693" w:type="dxa"/>
          </w:tcPr>
          <w:p w:rsidR="002803C4" w:rsidRPr="00E64414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803C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B.W3</w:t>
            </w:r>
          </w:p>
        </w:tc>
        <w:tc>
          <w:tcPr>
            <w:tcW w:w="4962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ordynowania leków zawierających określone substancje czynne, z wyłączeniem leków zawierających substancje bardzo silnie działające, środki odurzające i substancje psychotropowe;</w:t>
            </w:r>
          </w:p>
        </w:tc>
        <w:tc>
          <w:tcPr>
            <w:tcW w:w="2693" w:type="dxa"/>
          </w:tcPr>
          <w:p w:rsidR="002803C4" w:rsidRPr="00E64414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803C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B.W4</w:t>
            </w:r>
          </w:p>
        </w:tc>
        <w:tc>
          <w:tcPr>
            <w:tcW w:w="4962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ordynowania określonych wyrobów medycznych, w tym wystawiania na nie recept albo zleceń;</w:t>
            </w:r>
          </w:p>
        </w:tc>
        <w:tc>
          <w:tcPr>
            <w:tcW w:w="2693" w:type="dxa"/>
          </w:tcPr>
          <w:p w:rsidR="002803C4" w:rsidRPr="00E64414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</w:t>
            </w:r>
            <w:r w:rsidR="007A2A56"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 medyczne</w:t>
            </w:r>
          </w:p>
        </w:tc>
        <w:tc>
          <w:tcPr>
            <w:tcW w:w="2268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803C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B.W5</w:t>
            </w:r>
          </w:p>
        </w:tc>
        <w:tc>
          <w:tcPr>
            <w:tcW w:w="4962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skutki i objawy uboczne działania leków zawierających określone substancje czynne;</w:t>
            </w:r>
          </w:p>
        </w:tc>
        <w:tc>
          <w:tcPr>
            <w:tcW w:w="2693" w:type="dxa"/>
          </w:tcPr>
          <w:p w:rsidR="002803C4" w:rsidRPr="00E64414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803C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B.W6</w:t>
            </w:r>
          </w:p>
        </w:tc>
        <w:tc>
          <w:tcPr>
            <w:tcW w:w="4962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definicję bólu ostrego i przewlekłego, jego rodzaje, mechanizm i drogi przewodzenia oraz czynniki wpływające na jego odczuwanie;</w:t>
            </w:r>
          </w:p>
        </w:tc>
        <w:tc>
          <w:tcPr>
            <w:tcW w:w="2693" w:type="dxa"/>
          </w:tcPr>
          <w:p w:rsidR="002803C4" w:rsidRPr="00E64414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803C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B.W7</w:t>
            </w:r>
          </w:p>
        </w:tc>
        <w:tc>
          <w:tcPr>
            <w:tcW w:w="4962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kategorie bólu, metody diagnostyki i monitorowania bólu nowotworowego oraz metody i narzędzia kontroli i oceny odczuwania bólu przez pacjenta;</w:t>
            </w:r>
          </w:p>
        </w:tc>
        <w:tc>
          <w:tcPr>
            <w:tcW w:w="2693" w:type="dxa"/>
          </w:tcPr>
          <w:p w:rsidR="002803C4" w:rsidRPr="00E64414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803C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B.W8</w:t>
            </w:r>
          </w:p>
        </w:tc>
        <w:tc>
          <w:tcPr>
            <w:tcW w:w="4962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postępowania i leczenia przeciwbólowego zgodnego z najnowszymi rekomendacjami i zaleceniami Polskiego Towarzystwa Badania Bólu;</w:t>
            </w:r>
          </w:p>
        </w:tc>
        <w:tc>
          <w:tcPr>
            <w:tcW w:w="2693" w:type="dxa"/>
          </w:tcPr>
          <w:p w:rsidR="002803C4" w:rsidRPr="00E64414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803C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B.W9</w:t>
            </w:r>
          </w:p>
        </w:tc>
        <w:tc>
          <w:tcPr>
            <w:tcW w:w="4962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mechanizmy działania leków przeciwbólowych z różnych grup i ich działania uboczne w czasie terapii bólu przewlekłego;</w:t>
            </w:r>
          </w:p>
        </w:tc>
        <w:tc>
          <w:tcPr>
            <w:tcW w:w="2693" w:type="dxa"/>
          </w:tcPr>
          <w:p w:rsidR="002803C4" w:rsidRPr="00E64414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803C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B.W10</w:t>
            </w:r>
          </w:p>
        </w:tc>
        <w:tc>
          <w:tcPr>
            <w:tcW w:w="4962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niefarmakologiczne metody w terapii bólu;</w:t>
            </w:r>
          </w:p>
        </w:tc>
        <w:tc>
          <w:tcPr>
            <w:tcW w:w="2693" w:type="dxa"/>
          </w:tcPr>
          <w:p w:rsidR="002803C4" w:rsidRPr="00E64414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nauki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803C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B.W11</w:t>
            </w:r>
          </w:p>
        </w:tc>
        <w:tc>
          <w:tcPr>
            <w:tcW w:w="4962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i odrębności w postępowaniu przy terapii przeciwbólowej pacjentów w wieku podeszłym oraz w terminalnej fazie choroby nowotworowej;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803C4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803C4" w:rsidRPr="00DD423C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B.W12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 źródła i metody łagodzenia bólu u noworodka;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B.W13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możliwości obrazowania przy różnych drogach dostępu z zastosowaniem nowoczesnej aparatury do diagnostyki ultrasonograficznej;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B.W14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wykonywania badania ultrasonograficznego narządów jamy brzusznej i miednicy mniejszej oraz narządu rodnego kobiety, w tym kobiety ciężarnej, kobiety rodzącej i kobiety w okresie połogu;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B.W15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techniki wykonywania i zasady asystowania przy zabiegach wykonywanych przy użyciu ultrasonografu;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B.W16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 zastosowanie badania ultrasonograficznego w diagnostyce niepłodności;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B.W17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opisu i interpretacji diagnostyki ultrasonograficznej ciąży pojedynczej i wielopłodowej;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B.W18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wykonywania, oceny i dokumentowania badania serca płodu za pomocą różnych technik ultrasonograficznych;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B.W19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regulacje prawne i normy etyczne dotyczące udzielania specjalistycznych świadczeń zdrowotnych w zakresie diagnostyki ultrasonograficznej w położnictwie i ginekologii;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B.W20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aktualne standardy postępowania w opiece okołoporodowej nad pacjentką z chorobami układowymi, metabolicznymi, endokrynologicznymi i onkologicznymi, z zaburzeniami psychicznymi oraz nad pacjentką z niepełnosprawnością;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B.W21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psychologiczne aspekty niepełnosprawności i ich znaczenie dla funkcjonowania kobiety z niepełnosprawnością w różnych okresach jej życia oraz dla funkcjonowania jej rodziny;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B.W22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psychologiczne aspekty komplikacji ciążowo-położniczych i problemy psychoseksualne kobiet po porodzie;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B.W23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 zalecenia dietetyczne dla kobiet z patologicznym przebiegiem ciąży oraz z różnymi nawykami żywieniowymi i zaburzeniami odżywiania;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B.W24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formy wsparcia kobiet w sytuacjach trudnych w okresie okołoporodowym oraz rodziców po urodzeniu dziecka z niepełnosprawnością, chorobą o złym rokowaniu lub po śmierci dziecka;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B.W25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najczęstsze problemy neur</w:t>
            </w:r>
            <w:r w:rsidR="003540A8">
              <w:rPr>
                <w:rFonts w:ascii="Calibri" w:hAnsi="Calibri" w:cs="Calibri"/>
                <w:sz w:val="22"/>
                <w:szCs w:val="22"/>
              </w:rPr>
              <w:t xml:space="preserve">ologiczne w okresie prokreacji,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okołoporodowym i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okołoklimakterycznym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B.W26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diagnostyki, profilaktyki i leczenia chorób uwarunkowanych genetycznie oraz organizację opieki w tym zakresie;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B.W27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rodzaje działań medycznych i prawnych w przypadku przemocy wobec dziewczynek i kobiet;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B.W28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 schorzenia układu moczowo-płciowego w okresie okołomenopauzalnym i problemy kobiet w okresie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senium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B.W29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opieki nad kobietą i noworodkiem uzależnionymi od środków odurzających i psychotropowych;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B.W30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 międzynarodowe procedury mające na celu minimalizowanie ryzyka transmisji wertykalnej wirusa HIV od matki do płodu;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B.W31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B.W32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specyfikę ginekologii wieku dziecięcego i rozwojowego;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B.W33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problemy kobiet wynikające z zaburzeń układu wewnątrzwydzielniczego, w szczególności dotyczące ginekologii endokrynologicznej;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B.W34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7A2A56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B.W35</w:t>
            </w:r>
          </w:p>
        </w:tc>
        <w:tc>
          <w:tcPr>
            <w:tcW w:w="4962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wytyczne i programy organizacji promujących karmienie piersią w Polsce i na świecie oraz przepisy prawa w tym zakresie;</w:t>
            </w:r>
          </w:p>
        </w:tc>
        <w:tc>
          <w:tcPr>
            <w:tcW w:w="2693" w:type="dxa"/>
          </w:tcPr>
          <w:p w:rsidR="007A2A56" w:rsidRPr="00E64414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7A2A56" w:rsidRPr="00DD423C" w:rsidRDefault="007A2A56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B.W36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czynniki sprzyjające laktacji i zaburzające laktację;</w:t>
            </w:r>
          </w:p>
        </w:tc>
        <w:tc>
          <w:tcPr>
            <w:tcW w:w="2693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B.W37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zasady postępowania w przypadku sytuacji trudnych w laktacji,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relaktacji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i laktacji indukowanej;</w:t>
            </w:r>
          </w:p>
        </w:tc>
        <w:tc>
          <w:tcPr>
            <w:tcW w:w="2693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B.W38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wpływ leków, używek i chorób zakaźnych na laktację oraz możliwość karmienia piersią;</w:t>
            </w:r>
          </w:p>
        </w:tc>
        <w:tc>
          <w:tcPr>
            <w:tcW w:w="2693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B.W39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metody oceny siły mięśni dna miednicy oraz zasady treningu i profilaktyki dysfunkcji mięśni dna miednicy w wysiłkowym nietrzymaniu moczu, zespole pęcherza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nadreaktywnego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i obniżeniu pęcherza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nadreaktywnego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oraz dysfunkcji występujących po operacjach w obrębie podbrzusza, po ciąży i po porodzie;</w:t>
            </w:r>
          </w:p>
        </w:tc>
        <w:tc>
          <w:tcPr>
            <w:tcW w:w="2693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B.W40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kompleksowej opieki nad pacjentką z chorobą nowotworową narządu rodnego i piersi w różnym stopniu zaawansowania oraz prowadzenia edukacji terapeutycznej;</w:t>
            </w:r>
          </w:p>
        </w:tc>
        <w:tc>
          <w:tcPr>
            <w:tcW w:w="2693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B.W41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edukacji pacjentki i jej rodziny w zakresie podawania i świadomego dozowania leków przeciwbólowych oraz monitorowania bólu nowotworowego;</w:t>
            </w:r>
          </w:p>
        </w:tc>
        <w:tc>
          <w:tcPr>
            <w:tcW w:w="2693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B.W42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specyfikę opieki nad pacjentką w terminalnej fazie choroby nowotworowej.</w:t>
            </w:r>
          </w:p>
        </w:tc>
        <w:tc>
          <w:tcPr>
            <w:tcW w:w="2693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C.W1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kierunki, zakres i rodzaje badań naukowych w pielęgniarstwie i opiece położniczej;</w:t>
            </w:r>
          </w:p>
        </w:tc>
        <w:tc>
          <w:tcPr>
            <w:tcW w:w="2693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C.W2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reguły dobrych praktyk w badaniach naukowych;</w:t>
            </w:r>
          </w:p>
        </w:tc>
        <w:tc>
          <w:tcPr>
            <w:tcW w:w="2693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C.W3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metody i techniki badawcze stosowane w ramach prowadzonego badania naukowego;</w:t>
            </w:r>
          </w:p>
        </w:tc>
        <w:tc>
          <w:tcPr>
            <w:tcW w:w="2693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C.W4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przygotowywania baz danych do analiz statystycznych;</w:t>
            </w:r>
          </w:p>
        </w:tc>
        <w:tc>
          <w:tcPr>
            <w:tcW w:w="2693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C.W5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narzędzia informatyczne, testy statystyczne i zasady opracowania wyników badań naukowych;</w:t>
            </w:r>
          </w:p>
        </w:tc>
        <w:tc>
          <w:tcPr>
            <w:tcW w:w="2693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C.W6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źródła naukowej informacji medycznej;</w:t>
            </w:r>
          </w:p>
        </w:tc>
        <w:tc>
          <w:tcPr>
            <w:tcW w:w="2693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C.W7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sposoby wyszukiwania informacji naukowej w bazach danych;</w:t>
            </w:r>
            <w:r w:rsidRPr="00DD423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C.W8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praktyki opartej na dowodach naukowych w medycynie (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evidence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based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medicine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>) i w pielęgniarstwie (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evidence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based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nursing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practice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>);</w:t>
            </w:r>
          </w:p>
        </w:tc>
        <w:tc>
          <w:tcPr>
            <w:tcW w:w="2693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C.W9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procedurę uznawania kwalifikacji zawodowych położnych w Polsce i w państwach członkowskich Unii Europejskiej;</w:t>
            </w:r>
          </w:p>
        </w:tc>
        <w:tc>
          <w:tcPr>
            <w:tcW w:w="2693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C.W10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systemy kształcenia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przeddyplomowego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i podyplomowego położnych w wybranych państwach członkowskich Unii Europejskiej;</w:t>
            </w:r>
          </w:p>
        </w:tc>
        <w:tc>
          <w:tcPr>
            <w:tcW w:w="2693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C.W11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4746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systemy i współczesne kierunki organizowania opieki położniczej;</w:t>
            </w:r>
          </w:p>
        </w:tc>
        <w:tc>
          <w:tcPr>
            <w:tcW w:w="2693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C.W12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inicjatywy i strategie międzynarodowe dotyczące ochrony i promocji zdrowia kobiet;</w:t>
            </w:r>
          </w:p>
        </w:tc>
        <w:tc>
          <w:tcPr>
            <w:tcW w:w="2693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C.W13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zasady dostępu obywateli państw członkowskich Unii Europejskiej do świadczeń zdrowotnych w świetle prawa Unii Europejskiej.</w:t>
            </w:r>
          </w:p>
        </w:tc>
        <w:tc>
          <w:tcPr>
            <w:tcW w:w="2693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E453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U.W1</w:t>
            </w:r>
          </w:p>
        </w:tc>
        <w:tc>
          <w:tcPr>
            <w:tcW w:w="4962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stany zagrożenia życia u kobiety w okresie okołoporodowym;</w:t>
            </w:r>
          </w:p>
        </w:tc>
        <w:tc>
          <w:tcPr>
            <w:tcW w:w="2693" w:type="dxa"/>
          </w:tcPr>
          <w:p w:rsidR="002E4534" w:rsidRPr="00E64414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E453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U.W2</w:t>
            </w:r>
          </w:p>
        </w:tc>
        <w:tc>
          <w:tcPr>
            <w:tcW w:w="4962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organizacja i specyfika pracy na bloku operacyjnym</w:t>
            </w:r>
          </w:p>
        </w:tc>
        <w:tc>
          <w:tcPr>
            <w:tcW w:w="2693" w:type="dxa"/>
          </w:tcPr>
          <w:p w:rsidR="002E4534" w:rsidRPr="00E64414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E453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U.W3</w:t>
            </w:r>
          </w:p>
        </w:tc>
        <w:tc>
          <w:tcPr>
            <w:tcW w:w="4962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podstawowe zadania personelu bloku operacyjnego;</w:t>
            </w:r>
          </w:p>
        </w:tc>
        <w:tc>
          <w:tcPr>
            <w:tcW w:w="2693" w:type="dxa"/>
          </w:tcPr>
          <w:p w:rsidR="002E4534" w:rsidRPr="00E64414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E453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U.W4</w:t>
            </w:r>
          </w:p>
        </w:tc>
        <w:tc>
          <w:tcPr>
            <w:tcW w:w="4962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rodzaje i zastosowanie aparatury medycznej w obrębie bloku operacyjnego;</w:t>
            </w:r>
          </w:p>
        </w:tc>
        <w:tc>
          <w:tcPr>
            <w:tcW w:w="2693" w:type="dxa"/>
          </w:tcPr>
          <w:p w:rsidR="002E4534" w:rsidRPr="00E64414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2E4534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U.W5</w:t>
            </w:r>
          </w:p>
        </w:tc>
        <w:tc>
          <w:tcPr>
            <w:tcW w:w="4962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techniki operacyjne oraz rodzaje narzędzi chirurgicznych stosowanych w operacjach ginekologicznych;</w:t>
            </w:r>
          </w:p>
        </w:tc>
        <w:tc>
          <w:tcPr>
            <w:tcW w:w="2693" w:type="dxa"/>
          </w:tcPr>
          <w:p w:rsidR="002E4534" w:rsidRPr="00E64414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2E4534" w:rsidRPr="00DD423C" w:rsidRDefault="002E453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U.W6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program szkoły rodzenia, organizacja i prowadzenie szkoły rodzenia;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U.W7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zna wpływ procesów chorobowych na metabolizm i eliminację leków;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U.W8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zna ważniejsze działania niepożądane leków, w tym wynikające z ich interakcji, oraz zna procedurę zgłaszania działań niepożądanych leków;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U.W9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zna zasady wystawiania recept w ramach realizacji zleceń lekarskich;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U.W10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zna grupy leków, substancje czynne zawarte w lekach oraz postacie i drogi podania leków.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U.W11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zna środki spożywcze specjalnego przeznaczenia żywieniowego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U.W12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zna rodzaje badań diagnostycznych i posiada wiedzę w zakresie ich zlecania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U.W13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Zna właściwości grup leków i ich działanie na układy i narządy chorego w różnych schorzeniach, w zależności od wieku i stanu zdrowia, z uwzględnieniem działań niepożądanych, interakcji z innymi lekami i dróg podania.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U.W14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różnicować pojęcie emocji i motywacji oraz osobowości i jej zaburzeń;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U.W15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etapy rozwoju dziecka od poczęcia do narodzin oraz rozpoznać czynniki psychospołeczne warunkujące jego rozwój w okresie prenatalnym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U.W16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struktura i dynamika rodziny, społeczne konsekwencje choroby, bezdzietności i ciąży niepożądanej oraz problemy nieletnich i samotnych matek;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U.W17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standardy zapobiegania zakażeniom szpitalnym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U.W18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spacing w:after="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wyjaśnia funkcjonowanie człowieka  w  aspekcie psychicznym i społecznym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U.W19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spacing w:after="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zna różne metody wsparcia ciężarnej, rodzącej, położnicy,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jej rodziny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i bliskich w trudnych sytuacjach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U.W20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objaśnia systemy społecznego wsparcia i ich zastosowanie w pielęgniarstwie rodzinnym oraz zna organizacje pomocy społecznej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U.W21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podstawy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hemogenetyki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sądowej;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U.W22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różnicowanie następstw urazu mechanicznego: obrażenia przyżyciowe, obrażenia schyłkowe, obrażenia pośmiertne.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U.W23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etapy prawidłowego rozwoju dziecka; 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U.W24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idea rodzicielstwa bliskości; 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U.W25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zakresy postępowania profilaktycznego i pielęgnacyjnego w odniesieniu do kobiet w wieku rozrodczym;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U.W26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problemy zdrowotne kobiet o podłożu hormonalnym w różnych okresach życia, ze wskazaniem ich ewentualnej przyczyny;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U.W27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patofizjologia, objawy kliniczne i powikłania chorób nowotworowych;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U.W28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shd w:val="clear" w:color="auto" w:fill="FFFFFF"/>
              <w:suppressAutoHyphens/>
              <w:spacing w:after="0" w:line="300" w:lineRule="auto"/>
              <w:ind w:right="29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zna metody badań z zakresu diagnostyki obrazowej oraz objawy rozpoznawania powikłań wczesnej i późnej radioterapii, sposoby ich zapobiegania i leczenia;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U.W29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shd w:val="clear" w:color="auto" w:fill="FFFFFF"/>
              <w:suppressAutoHyphens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wymienia i charakteryzuje zasady postępowania z kobietą w ciąży powikłanej schorzeniami onkologicznymi; 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U.W30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shd w:val="clear" w:color="auto" w:fill="FFFFFF"/>
              <w:suppressAutoHyphens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prezentuje aktualne standardy i procedury" postępowania w onkologii ginekologicznej oraz standardy postępowania z ciężarną chorą ginekologicznie;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602FB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02FBA" w:rsidRPr="00DD423C" w:rsidRDefault="00602FB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U.W31</w:t>
            </w:r>
          </w:p>
        </w:tc>
        <w:tc>
          <w:tcPr>
            <w:tcW w:w="4962" w:type="dxa"/>
            <w:shd w:val="clear" w:color="auto" w:fill="auto"/>
          </w:tcPr>
          <w:p w:rsidR="00602FBA" w:rsidRPr="00DD423C" w:rsidRDefault="00602FBA" w:rsidP="00781CD8">
            <w:pPr>
              <w:shd w:val="clear" w:color="auto" w:fill="FFFFFF"/>
              <w:suppressAutoHyphens/>
              <w:spacing w:after="0" w:line="300" w:lineRule="auto"/>
              <w:ind w:right="22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omawia fazy reakcji psychicznej pacjentek po zabiegu okaleczającym, np. mastektomii, oraz wskazuje metody psychoterapii;</w:t>
            </w:r>
          </w:p>
        </w:tc>
        <w:tc>
          <w:tcPr>
            <w:tcW w:w="2693" w:type="dxa"/>
          </w:tcPr>
          <w:p w:rsidR="00602FBA" w:rsidRPr="00E64414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P7S_WG</w:t>
            </w:r>
          </w:p>
          <w:p w:rsidR="00602FBA" w:rsidRPr="00DD423C" w:rsidRDefault="00602FB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</w:tbl>
    <w:p w:rsidR="00857F68" w:rsidRPr="00781CD8" w:rsidRDefault="00857F68" w:rsidP="00781CD8">
      <w:pPr>
        <w:pStyle w:val="Nagwek2"/>
      </w:pPr>
      <w:r w:rsidRPr="00781CD8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ekty uczenia się Położnictwo studia II stopnia stacjonarne"/>
        <w:tblDescription w:val="kierunkowe efekty uczenia sie w zakresie w umiejętności"/>
      </w:tblPr>
      <w:tblGrid>
        <w:gridCol w:w="993"/>
        <w:gridCol w:w="4962"/>
        <w:gridCol w:w="2409"/>
        <w:gridCol w:w="2268"/>
      </w:tblGrid>
      <w:tr w:rsidR="00857F68" w:rsidRPr="0080003B" w:rsidTr="00781CD8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E64414" w:rsidRDefault="00857F68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E64414" w:rsidRDefault="00857F68" w:rsidP="00781CD8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E64414" w:rsidRDefault="00857F68" w:rsidP="00781CD8">
            <w:pPr>
              <w:pStyle w:val="Bezodstpw"/>
              <w:spacing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E64414" w:rsidRDefault="00857F68" w:rsidP="00781CD8">
            <w:pPr>
              <w:pStyle w:val="Bezodstpw"/>
              <w:spacing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E64414" w:rsidRDefault="00857F68" w:rsidP="00781CD8">
            <w:pPr>
              <w:pStyle w:val="Bezodstpw"/>
              <w:spacing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E64414" w:rsidRDefault="00857F68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A.U1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rozpoznawać zaburzenia w funkcjonowaniu społecznym człowieka oraz oceniać proces adaptacji człowieka w różnych kontekstach zdrowia i choroby;</w:t>
            </w:r>
          </w:p>
        </w:tc>
        <w:tc>
          <w:tcPr>
            <w:tcW w:w="2409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A.U2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wskazywać rolę wsparcia społecznego i psychologicznego w opiece nad człowiekiem zdrowym i chorym;</w:t>
            </w:r>
          </w:p>
        </w:tc>
        <w:tc>
          <w:tcPr>
            <w:tcW w:w="2409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B716F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B716FA" w:rsidRPr="00DD423C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A.U3</w:t>
            </w:r>
          </w:p>
        </w:tc>
        <w:tc>
          <w:tcPr>
            <w:tcW w:w="4962" w:type="dxa"/>
            <w:shd w:val="clear" w:color="auto" w:fill="auto"/>
          </w:tcPr>
          <w:p w:rsidR="00B716FA" w:rsidRPr="00DD423C" w:rsidRDefault="00B716FA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wskazywać metody radzenia sobie ze stresem;</w:t>
            </w:r>
          </w:p>
        </w:tc>
        <w:tc>
          <w:tcPr>
            <w:tcW w:w="2409" w:type="dxa"/>
          </w:tcPr>
          <w:p w:rsidR="00B716FA" w:rsidRPr="00E64414" w:rsidRDefault="00B716F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B716FA" w:rsidRPr="00DD423C" w:rsidRDefault="00B716FA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A.U4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oceniać zdarzenia w praktyce zawodowej położnej w kontekście zgodności z przepisami prawa oraz możliwości i sposobów dochodzenia roszczeń, a także wskazywać możliwości rozwiązania danego problemu;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A.U5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kwalifikować zdarzenia w praktyce zawodowej położnej zgodnie z przepisami prawa cywilnego, karnego i prawa pracy;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A.U6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analizować przyczyny błędów medycznych i proponować działania naprawcze; 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A.U7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analizować strukturę zadań zawodowych położnych w kontekście posiadanych kwalifikacji;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A.U8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stosować metody analizy strategicznej niezbędne do funkcjonowania podmiotów wykonujących działalność leczniczą;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A.U9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organizować i nadzorować pracę zespołów pielęgniarskich i położniczych;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A.U10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stosować różne metody podejmowania decyzji zawodowych i zarządczych;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A.U11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ind w:right="22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planować zasoby ludzkie, wykorzystując różne metody, organizować rekrutację pracowników i planować proces adaptacji zawodowej;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A.U12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ind w:right="29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opracowywać harmonogramy pracy personelu w oparciu o ocenę zapotrzebowania na opiekę położniczą;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A.U13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ind w:right="29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opracowywać plany rozwoju zawodowego własnego i podległego personelu położniczego;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A.U14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przygotowywać opisy stanowisk pracy dla położnych oraz zakresy obowiązków, uprawnień i odpowiedzialności;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P7S_UK 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A.U15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ind w:right="29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nadzorować jakość opieki położniczej w podmiocie wykonującym działalność leczniczą, w tym przygotowywać ten podmiot do zewnętrznej oceny jakości;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P7S_UK 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A.U16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koordynować realizację świadczeń zdrowotnych dla kobiet w zakresie opieki okołoporodowej;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A.U17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organizować proces dydaktyczny z wykorzystaniem nowoczesnych technologii stosowanych w kształceniu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przeddyplomowym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 podyplomowym;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A.U18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dobierać odpowiednie środki i metody nauczania w działalności dydaktycznej;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A.U19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dokonywać weryfikacji osiągniętych efektów uczenia się i organizacji procesu kształcenia zawodowego;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A.U20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stosować różne metody komunikacji z kobietą i jej rodziną, uwzględniając różnice kulturowe, konsekwencje uchodźctwa, imigracji i repatriacji;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A.U21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analizować religijno-kulturowe aspekty opieki nad kobietą i jej rodziną w okresie okołoporodowym i opieki neonatologicznej;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="002803C4"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o </w:t>
            </w:r>
            <w:r w:rsidR="002803C4">
              <w:rPr>
                <w:rFonts w:ascii="Calibri" w:hAnsi="Calibri" w:cs="Calibri"/>
                <w:sz w:val="22"/>
                <w:szCs w:val="22"/>
                <w:lang w:eastAsia="pl-PL"/>
              </w:rPr>
              <w:t>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A.U22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stosować uwarunkowania religijne i kulturowe w odniesieniu do potrzeb kobiet w różnych okresach ich życia i różnym stanie zdrowia oraz ich rodzin;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="002803C4">
              <w:rPr>
                <w:rFonts w:ascii="Calibri" w:hAnsi="Calibri" w:cs="Calibri"/>
                <w:sz w:val="22"/>
                <w:szCs w:val="22"/>
                <w:lang w:eastAsia="pl-PL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A.U23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analizować relację położna - pacjentka i wskazywać na bariery w komunikacji międzykulturowej;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="002803C4">
              <w:rPr>
                <w:rFonts w:ascii="Calibri" w:hAnsi="Calibri" w:cs="Calibri"/>
                <w:sz w:val="22"/>
                <w:szCs w:val="22"/>
                <w:lang w:eastAsia="pl-PL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A.U24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identyfikować problemy pacjentek oraz ich rodzin (niepowodzenia prokreacyjne, transplantologia, transfuzja, żywienie) wynikające z uwarunkowań kulturowych, religijnych i etnicznych kobiet w różnych okresach ich życia i różnym stanie zdrowia;</w:t>
            </w:r>
          </w:p>
        </w:tc>
        <w:tc>
          <w:tcPr>
            <w:tcW w:w="2409" w:type="dxa"/>
          </w:tcPr>
          <w:p w:rsidR="004D1249" w:rsidRPr="00E64414" w:rsidRDefault="004D1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="002803C4">
              <w:rPr>
                <w:rFonts w:ascii="Calibri" w:hAnsi="Calibri" w:cs="Calibri"/>
                <w:sz w:val="22"/>
                <w:szCs w:val="22"/>
                <w:lang w:eastAsia="pl-PL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4D1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A.U25</w:t>
            </w:r>
          </w:p>
        </w:tc>
        <w:tc>
          <w:tcPr>
            <w:tcW w:w="4962" w:type="dxa"/>
            <w:shd w:val="clear" w:color="auto" w:fill="auto"/>
          </w:tcPr>
          <w:p w:rsidR="004D1249" w:rsidRPr="00DD423C" w:rsidRDefault="004D1249" w:rsidP="00781CD8">
            <w:pPr>
              <w:shd w:val="clear" w:color="auto" w:fill="FFFFFF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porozumiewać się w języku angielskim na poziomie B2+ Europejskiego Systemu Opisu Kształcenia Językowego.</w:t>
            </w:r>
          </w:p>
        </w:tc>
        <w:tc>
          <w:tcPr>
            <w:tcW w:w="2409" w:type="dxa"/>
          </w:tcPr>
          <w:p w:rsidR="002803C4" w:rsidRPr="00E64414" w:rsidRDefault="002803C4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4D1249" w:rsidRPr="00DD423C" w:rsidRDefault="002803C4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="004D1249"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4D1249" w:rsidRPr="00DD423C" w:rsidRDefault="004D1249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U1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 dobierać i przygotowywać zapisy form recepturowych leków zawierających określone substancje czynne, na podstawie ukierunkowanej oceny stanu pacjenta;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U2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interpretować charakterystyki farmaceutyczne produktów leczniczych;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U3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ordynować leki, środki spożywcze specjalnego przeznaczenia żywieniowego i wyroby medyczne oraz wystawić na nie recepty albo zlecenia;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U4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prowadzić edukację pacjenta w zakresie stosowanej farmakoterapii;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U5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oceniać ból ostry przy zastosowaniu skali jego natężenia dobranej do danej grupy pacjentów;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U6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oceniać kliniczne przyczyny zmian w wartościach parametrów życiowych wynikające z odczuwanego bólu i podejmować w tym zakresie działania adekwatne do stanu pacjenta;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U7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podawać odpowiednimi drogami leki przeciwbólowe, modyfikując dawkę leku w zależności od stanu pacjenta;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U8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stosować odpowiednie metody niefarmakologiczne łagodzenia bólu w zależności od stanu pacjenta;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U9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dokumentować procedury realizowane w ramach terapii bólu ostrego i przewlekłego oraz prowadzić kartę leczenia bólu;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U10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oceniać poziom sprawności poznawczej pacjenta i natężenia bólu według odpowiedniej skali;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U11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oceniać skuteczność terapii bólu ostrego i przewlekłego;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U12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prowadzić edukację pacjenta w zakresie samoobserwacji i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samopielęgnacji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w terapii bólu przewlekłego;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U13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oceniać nasilenie bólu u noworodka oraz stosować zasady postępowania przeciwbólowego i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sedacyjnego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na Oddziale Intensywnej Terapii Noworodka;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U14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wykonywać badanie ultrasonograficzne narządów jamy brzusznej i miednicy mniejszej oraz wstępnie oceniać i opisywać wynik badania;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U15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 różnicować anatomię ultrasonograficzną narządu rodnego w różnych okresach życia kobiety i wstępnie interpretować podstawowe wyniki badań ultrasonograficznych;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U16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rozpoznawać wczesną ciążę i jej umiejscowienie oraz oceniać prawidłowość rozwoju pęcherzyka ciążowego, a także wiek ciążowy, masę, dojrzałość płodu i jego położenie;</w:t>
            </w:r>
          </w:p>
        </w:tc>
        <w:tc>
          <w:tcPr>
            <w:tcW w:w="2409" w:type="dxa"/>
          </w:tcPr>
          <w:p w:rsidR="00F066DC" w:rsidRPr="00E64414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U17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wykonywać badanie ultrasonograficzne ciąży niskiego ryzyka, oceniać prawidłowość jej rozwoju, wielkość płodu, wykluczać duże wady anatomiczne płodu, oceniać stan płodu i popłodu (łożyska i płynu owodniowego) oraz opisywać wynik tego badania;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U18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dokonywać wstępnej oceny płodu i struktur w otoczeniu płodu oraz pogłębionej oceny serca, układu krążenia i innych struktur płodu za pomocą różnych technik ultrasonograficznych;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U19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wykonywać badanie ultrasonograficzne w ginekologii w ocenie nieprawidłowych zmian w obrębie narządu rodnego;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F066D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U20</w:t>
            </w:r>
          </w:p>
        </w:tc>
        <w:tc>
          <w:tcPr>
            <w:tcW w:w="4962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interpretować podstawowe wyniki badań ultrasonograficznych z wykorzystaniem techniki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przezpochwowej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przezodbytniczej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przezbrzusznej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w położnictwie i ginekologii;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F066D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F066DC" w:rsidRPr="00DD423C" w:rsidRDefault="00F066D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U21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określać, w jakich stanach klinicznych, przy jakich podejrzeniach i przy uzyskaniu jakich obrazów powinno być wykonane konsultacyjne badanie ultrasonograficzne;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U22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oceniać stan zdrowia pacjentki w okresie okołoporodowym z chorobami układowymi, metabolicznymi, endokrynologicznymi i onkologicznymi oraz z zaburzeniami psychicznymi, a także pacjentki z niepełnosprawnością, na podstawie badania fizykalnego, oraz określać standard opieki położniczej nad nią;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U23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wskazywać różne formy wsparcia dla kobiet w sytuacjach trudnych w ciąży i w okresie połogu;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U24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organizować i podejmować współpracę z członkami zespołu interdyscyplinarnego w zakresie opieki nad kobietą i jej rodziną w przypadku choroby przewlekłej, niepełnosprawności i choroby o złym rokowaniu;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U25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wdrażać międzynarodowe procedury mające na celu zminimalizowanie ryzyka transmisji wertykalnej wirusa HIV od matki do płodu;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U26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rozpoznawać objawy współuzależnienia i pomagać osobom współuzależnionym, wdrażając adekwatne postępowanie oraz sprawować opiekę w środowisku domowym nad kobietą i noworodkiem uzależnionymi od środków odurzających i psychotropowych;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U27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rozpoznawać środowiska zagrożone problemem przemocy w rodzinie i udzielać ofiarom profesjonalnej pomocy;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U28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rozpoznawać objawy zaburzeń odżywiania w ciąży, w tym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pregoreksji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>, i niedobory mineralno-witaminowe wynikające z restrykcyjnych diet oraz planować działania przeciwdziałające ich możliwym niekorzystnym skutkom dla kobiety w ciąży i dla płodu;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U29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realizować programy wczesnej stymulacji i opieki rozwojowej noworodka oraz monitorować zmiany zachowania noworodka przy użyciu Skali Oceny Zachowania Noworodka NBAS Thomasa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Brazeltona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U30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proponować metody pracy z pacjentką i jej rodzicami w ginekologii wieku dziecięcego i rozwojowego;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U31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 analizować i interpretować konsekwencje endokrynologiczne zaburzeń czynności hormonalnej gonad;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U32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prowadzić poradnictwo w zakresie opieki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prekoncepcyjnej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nad pacjentką chorą na cukrzycę i w zakresie opieki okołoporodowej nad kobietą ciężarną, kobietą rodzącą i kobietą w okresie połogu chorą na cukrzycę oraz jej dzieckiem;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U33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opracowywać indywidualny program edukacji przedporodowej dla rodziców w przypadku ciąży fizjologicznej i powikłanej;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U34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prowadzić ewaluację działań edukacyjnych wobec kobiety ciężarnej, kobiety rodzącej, kobiety w okresie połogu i jej rodziny oraz kobiety zdrowej w każdym okresie jej życia, a także kobiety chorej ginekologicznie;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U35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prowadzić działania edukacyjne w zakresie laktacji, obejmując specjalistyczną opieką kobietę i jej dziecko, niezależnie od stanu klinicznego i stopnia dojrzałości, w okresie przygotowania do karmienia piersią i w czasie jego trwania oraz w przypadku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relaktacji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 xml:space="preserve"> i laktacji indukowanej;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U36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planować działania edukacyjne w opiece nad kobietą ciężarną z zaburzeniami odżywiania;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2E4534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U37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projektować rozwiązania usprawniające wdrażanie profilaktyki chorób narządu rodnego w okresie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senium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1A034A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U38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piersi;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E901AC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B</w:t>
            </w:r>
            <w:r w:rsidR="001A034A">
              <w:rPr>
                <w:rFonts w:ascii="Calibri" w:hAnsi="Calibri" w:cs="Calibri"/>
                <w:sz w:val="22"/>
                <w:szCs w:val="22"/>
              </w:rPr>
              <w:t>.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U39</w:t>
            </w:r>
          </w:p>
        </w:tc>
        <w:tc>
          <w:tcPr>
            <w:tcW w:w="4962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planować i realizować działania mające na celu zapobieganie powikłaniom wynikającym z terminalnej fazy choroby.</w:t>
            </w:r>
          </w:p>
        </w:tc>
        <w:tc>
          <w:tcPr>
            <w:tcW w:w="2409" w:type="dxa"/>
          </w:tcPr>
          <w:p w:rsidR="00E901AC" w:rsidRPr="00E64414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E901AC" w:rsidRPr="00DD423C" w:rsidRDefault="00E901AC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C.U1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wskazywać kierunki i zakres badań naukowych w pielęgniarstwie i opiece położniczej;</w:t>
            </w:r>
          </w:p>
        </w:tc>
        <w:tc>
          <w:tcPr>
            <w:tcW w:w="2409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C.U2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zaplanować badanie naukowe, omówić jego cel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i spodziewane wyniki;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P7S_UO 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C.U3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2409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P7S_UU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C.U4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przygotowywać bazy danych do obliczeń statystycznych;</w:t>
            </w:r>
          </w:p>
        </w:tc>
        <w:tc>
          <w:tcPr>
            <w:tcW w:w="2409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C.U5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stosować testy parametryczne i nieparametryczne dla zmiennych zależnych i niezależnych;</w:t>
            </w:r>
          </w:p>
        </w:tc>
        <w:tc>
          <w:tcPr>
            <w:tcW w:w="2409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C.U6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korzystać ze specjalistycznej literatury naukowej krajowej i zagranicznej, naukowych baz danych oraz informacji i danych przekazywanych przez międzynarodowe organizacje i stowarzyszenia położnicze;</w:t>
            </w:r>
          </w:p>
        </w:tc>
        <w:tc>
          <w:tcPr>
            <w:tcW w:w="2409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C.U7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wykorzystywać wyniki badań naukowych w zakresie opieki położniczej, ginekologicznej i neonatologicznej niezbędne do podjęcia właściwej decyzji w praktyce zawodowej;</w:t>
            </w:r>
          </w:p>
        </w:tc>
        <w:tc>
          <w:tcPr>
            <w:tcW w:w="2409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C.U8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przygotowywać rekomendacje w zakresie opieki położniczej w oparciu o wyniki badań naukowych;</w:t>
            </w:r>
          </w:p>
        </w:tc>
        <w:tc>
          <w:tcPr>
            <w:tcW w:w="2409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C.U9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stosować zróżnicowane modele opieki położniczej w kontekście nowoczesnego położnictwa, ginekologii i neonatologii;</w:t>
            </w:r>
          </w:p>
        </w:tc>
        <w:tc>
          <w:tcPr>
            <w:tcW w:w="2409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1A034A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C.U10</w:t>
            </w:r>
          </w:p>
        </w:tc>
        <w:tc>
          <w:tcPr>
            <w:tcW w:w="4962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analizować inicjatywy i strategie międzynarodowe dotyczące ochrony i promocji zdrowia kobiet w celu organizowania opieki nad kobietą w różnych okresach jej życia i różnym stanie zdrowia.</w:t>
            </w:r>
          </w:p>
        </w:tc>
        <w:tc>
          <w:tcPr>
            <w:tcW w:w="2409" w:type="dxa"/>
          </w:tcPr>
          <w:p w:rsidR="001A034A" w:rsidRPr="00E64414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1A034A" w:rsidRPr="00DD423C" w:rsidRDefault="001A034A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U.U1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oceniać stan świadomości pacjentki z wykorzystaniem właściwych metod oceny (schematów i klasyfikacji);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U.U2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sprawować nadzór nad ciężarną z krwawieniem w pierwszej i drugiej połowie ciąży oraz udzielać pierwszej pomocy w sytuacji krwotoku okołoporodowego;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U.U3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diagnozować wstępnie zatorowość płucną oraz wdrażać działania ratujące życie w przypadku zatorowości płucnej;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nauki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U.U4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oceniać ciężkość urazu oraz proponować procedury postępowania uwzględniające ciężkość urazu, czas trwania ciąży i stan ogólny poszkodowanej położnicy;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U.U5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współuczestniczyć w przygotowaniu sali operacyjnej do zabiegu operacyjnego;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U.U6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przyjąć pacjentkę na blok operacyjny i ułożyć do operacji;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U.U7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przygotować narzędzia, bieliznę operacyjną  i sprzęt jednorazowego użytku do zabiegu operacyjnego oraz postępować z w/w materiałami w trakcie i po zabiegu;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U.U8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posługuje się informatorami farmaceutycznymi i bazami danych o produktach leczniczych;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U.U9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posiada umiejętności umożliwiające wystawianie recept na leki niezbędne do kontynuacji leczenia, w ramach realizacji zleceń lekarskich;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U.U10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posiada umiejętność przygotowania zapisu form recepturowych substancji leczniczych i środków spożywczych specjalnego przeznaczenia żywieniowego zleconych przez lekarza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U.U11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posiada umiejętność doboru środków spożywczych specjalnego przeznaczenia żywieniowego i umiejętności umożliwiające wystawianie recept na środki spożywcze specjalnego przeznaczenia żywieniowego niezbędne do kontynuacji leczenia, w ramach realizacji zleceń lekarskich, oraz potrafi udzielać informacji o ich stosowaniu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U.U12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potrafi rozpoznawać wskazania do wykonania określonych badań diagnostycznych i posiada umiejętności umożliwiające wystawianie skierowań na określone badania diagnostyczne;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U.U13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potrafi przygotować i podawać leki różnymi drogami, samodzielnie lub na zlecenie lekarza;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U.U14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potrafi przygotowywać zapisy form recepturowych substancji leczniczych w porozumieniu z lekarzem lub na jego zlecenie;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U.U15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ocenia wpływ choroby, hospitalizacji i innych sytuacji trudnych na stan fizyczny, psychiczny I funkcjonowanie społeczne człowieka;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U.U16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różnicuje procesy poznawcze i zachowania prawidłowe, zaburzone i patologiczne 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U.U17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stosuje środki ochrony własnej, pacjentów i współpracowników przed zakażeniami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U.U18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stosuje odpowiedni opatrunek na ranie z uwzględnieniem etiologii rany, etapu gojenia się rany i stanu pacjenta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U.U19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potrafi zastosować zasady aseptyki i antyseptyki w postępowaniu z raną oparzeniową i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>owrzodzeniową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kończyn dolnych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U.U20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 xml:space="preserve">opracowuje projekty pielęgniarskich działań prozdrowotnych dla różnych grup odbiorców potrzebujących wsparcia w szerokim ujęciu, np. formy wsparcia dla kobiet w okresie </w:t>
            </w:r>
            <w:proofErr w:type="spellStart"/>
            <w:r w:rsidRPr="00DD423C">
              <w:rPr>
                <w:rFonts w:ascii="Calibri" w:hAnsi="Calibri" w:cs="Calibri"/>
                <w:sz w:val="22"/>
                <w:szCs w:val="22"/>
              </w:rPr>
              <w:t>senium</w:t>
            </w:r>
            <w:proofErr w:type="spellEnd"/>
            <w:r w:rsidRPr="00DD423C">
              <w:rPr>
                <w:rFonts w:ascii="Calibri" w:hAnsi="Calibri" w:cs="Calibri"/>
                <w:sz w:val="22"/>
                <w:szCs w:val="22"/>
              </w:rPr>
              <w:t>, formy wsparcia dla kobiet z chorobą nowotworową, praktyczne sposoby okazywania wsparcia kobietom w tzw. stanie niemocy psychicznej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U.U21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rozpoznawać znamiona śmierci, zmiany związane z zabiegami reanimacyjnymi, zmiany o charakterze rozkładowym, zmiany o charakterze utrwalającym. Oględziny zwłok na miejscu zdarzenia. Sądowo-lekarska sekcja zwłok. Modyfikacje techniki sekcyjnej. Zabezpieczanie materiałów do dalszych badań. Ustalanie tożsamości zwłok nie znanych, kośćców i rozkawałkowanych.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U.U22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rozpoznawać niepokojące objawy w rozwoju dziecka;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U.U23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wskazywać wpływ dotyku na prawidłowy rozwój psychomotoryczny dziecka;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U.U24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wskazywać fizjologiczny i psychologiczny aspekt oddziaływania muzyki na rozwój dziecka;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U.U25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prowadzi edukację w zakresie samoobserwacji cyklu miesiączkowego u dziewcząt i zaburzeń cyklu miesiączkowego, bierze czynny udział w diagnostyce i terapii tych zaburzeń oraz określa wpływ stylu życia na przebieg cyklu miesiączkowego;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U.U26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organizuje edukację oraz prowadzi czynne poradnictwo w zakresie sterowania płodnością;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U.U27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shd w:val="clear" w:color="auto" w:fill="FFFFFF"/>
              <w:suppressAutoHyphens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podejmuje działania profilaktyczne chorób nowotworowych narządu rodnego i gruczołu piersiowego i sprawuje opiekę nad chorą z zaawansowanym procesem nowotworowym; 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lastRenderedPageBreak/>
              <w:t>U.U28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shd w:val="clear" w:color="auto" w:fill="FFFFFF"/>
              <w:suppressAutoHyphens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rozpoznaje problemy psychologiczne kobiet po usunięciu piersi i narządów rodnych oraz podejmuje działania rehabilitacyjne kobiet po operacjach ginekologicznych i mastektomii; 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  <w:tr w:rsidR="00672FB3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672FB3" w:rsidRPr="00DD423C" w:rsidRDefault="00672FB3" w:rsidP="00781CD8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U.U29</w:t>
            </w:r>
          </w:p>
        </w:tc>
        <w:tc>
          <w:tcPr>
            <w:tcW w:w="4962" w:type="dxa"/>
            <w:shd w:val="clear" w:color="auto" w:fill="auto"/>
          </w:tcPr>
          <w:p w:rsidR="00672FB3" w:rsidRPr="00DD423C" w:rsidRDefault="00672FB3" w:rsidP="00781CD8">
            <w:pPr>
              <w:shd w:val="clear" w:color="auto" w:fill="FFFFFF"/>
              <w:suppressAutoHyphens/>
              <w:spacing w:after="0"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dokonuje pomiaru, oceny i monitorowania bólu oraz modyfikuje dawkę leczniczą leków przeciwbólowych i innych znoszących dokuczliwe objawy (duszność, nudności, wymioty, lęk); </w:t>
            </w:r>
          </w:p>
        </w:tc>
        <w:tc>
          <w:tcPr>
            <w:tcW w:w="2409" w:type="dxa"/>
          </w:tcPr>
          <w:p w:rsidR="00672FB3" w:rsidRPr="00E64414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268" w:type="dxa"/>
            <w:shd w:val="clear" w:color="auto" w:fill="auto"/>
          </w:tcPr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P7S_UW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P7S_UK</w:t>
            </w:r>
          </w:p>
          <w:p w:rsidR="00672FB3" w:rsidRPr="00DD423C" w:rsidRDefault="00672FB3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P7S_UO</w:t>
            </w:r>
          </w:p>
        </w:tc>
      </w:tr>
    </w:tbl>
    <w:p w:rsidR="00857F68" w:rsidRDefault="00857F68" w:rsidP="00781CD8">
      <w:pPr>
        <w:pStyle w:val="Nagwek2"/>
      </w:pPr>
      <w:r w:rsidRPr="0080003B">
        <w:t>KOMPETENCJE SPOŁECZNE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ekty uczenia się Położnictwo studia II stopnia stacjonarne"/>
        <w:tblDescription w:val="kierunkowe efekty uczenia się w zakresie kompetencji społecznych"/>
      </w:tblPr>
      <w:tblGrid>
        <w:gridCol w:w="993"/>
        <w:gridCol w:w="4962"/>
        <w:gridCol w:w="2693"/>
        <w:gridCol w:w="2268"/>
      </w:tblGrid>
      <w:tr w:rsidR="00857F68" w:rsidRPr="0080003B" w:rsidTr="00781CD8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E64414" w:rsidRDefault="00857F68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E64414" w:rsidRDefault="00857F68" w:rsidP="00781CD8">
            <w:pPr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E64414" w:rsidRDefault="00857F68" w:rsidP="00781CD8">
            <w:pPr>
              <w:pStyle w:val="Bezodstpw"/>
              <w:spacing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693" w:type="dxa"/>
          </w:tcPr>
          <w:p w:rsidR="00857F68" w:rsidRPr="00E64414" w:rsidRDefault="00857F68" w:rsidP="00781CD8">
            <w:pPr>
              <w:pStyle w:val="Bezodstpw"/>
              <w:spacing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E64414" w:rsidRDefault="00857F68" w:rsidP="00781CD8">
            <w:pPr>
              <w:pStyle w:val="Bezodstpw"/>
              <w:spacing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E64414" w:rsidRDefault="00857F68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3E3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K1</w:t>
            </w:r>
          </w:p>
        </w:tc>
        <w:tc>
          <w:tcPr>
            <w:tcW w:w="4962" w:type="dxa"/>
            <w:shd w:val="clear" w:color="auto" w:fill="auto"/>
          </w:tcPr>
          <w:p w:rsidR="003E3249" w:rsidRPr="003E3249" w:rsidRDefault="003E3249" w:rsidP="00781CD8">
            <w:pPr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3E324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krytycznej oceny działań własnych i współpracowników przy zachowaniu szacunku dla różnic światopoglądowych i kulturowych;</w:t>
            </w:r>
          </w:p>
        </w:tc>
        <w:tc>
          <w:tcPr>
            <w:tcW w:w="2693" w:type="dxa"/>
          </w:tcPr>
          <w:p w:rsidR="003E3249" w:rsidRPr="00E64414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P7S_KR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P7S_KK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P7S_KO</w:t>
            </w:r>
          </w:p>
        </w:tc>
      </w:tr>
      <w:tr w:rsidR="003E3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K2</w:t>
            </w:r>
          </w:p>
        </w:tc>
        <w:tc>
          <w:tcPr>
            <w:tcW w:w="4962" w:type="dxa"/>
            <w:shd w:val="clear" w:color="auto" w:fill="auto"/>
          </w:tcPr>
          <w:p w:rsidR="003E3249" w:rsidRPr="003E3249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3E3249">
              <w:rPr>
                <w:rFonts w:ascii="Calibri" w:hAnsi="Calibri" w:cs="Calibri"/>
                <w:sz w:val="22"/>
                <w:szCs w:val="22"/>
              </w:rPr>
              <w:t>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2693" w:type="dxa"/>
          </w:tcPr>
          <w:p w:rsidR="003E3249" w:rsidRPr="00E64414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P7S_KR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P7S_KK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P7S_KO</w:t>
            </w:r>
          </w:p>
        </w:tc>
      </w:tr>
      <w:tr w:rsidR="003E3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K3</w:t>
            </w:r>
          </w:p>
        </w:tc>
        <w:tc>
          <w:tcPr>
            <w:tcW w:w="4962" w:type="dxa"/>
            <w:shd w:val="clear" w:color="auto" w:fill="auto"/>
          </w:tcPr>
          <w:p w:rsidR="003E3249" w:rsidRPr="003E3249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3E3249">
              <w:rPr>
                <w:rFonts w:ascii="Calibri" w:hAnsi="Calibri" w:cs="Calibri"/>
                <w:sz w:val="22"/>
                <w:szCs w:val="22"/>
              </w:rPr>
              <w:t>okazywania dbałości o prestiż związany z wykonywaniem zawodu położnej i solidarność zawodową;</w:t>
            </w:r>
          </w:p>
        </w:tc>
        <w:tc>
          <w:tcPr>
            <w:tcW w:w="2693" w:type="dxa"/>
          </w:tcPr>
          <w:p w:rsidR="003E3249" w:rsidRPr="00E64414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P7S_KR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P7S_KK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P7S_KO</w:t>
            </w:r>
          </w:p>
        </w:tc>
      </w:tr>
      <w:tr w:rsidR="003E3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K4</w:t>
            </w:r>
          </w:p>
        </w:tc>
        <w:tc>
          <w:tcPr>
            <w:tcW w:w="4962" w:type="dxa"/>
            <w:shd w:val="clear" w:color="auto" w:fill="auto"/>
          </w:tcPr>
          <w:p w:rsidR="003E3249" w:rsidRPr="003E3249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3E3249">
              <w:rPr>
                <w:rFonts w:ascii="Calibri" w:hAnsi="Calibri" w:cs="Calibri"/>
                <w:sz w:val="22"/>
                <w:szCs w:val="22"/>
              </w:rPr>
              <w:t>okazywania troski o bezpieczeństwo własne, otoczenia i współpracowników;</w:t>
            </w:r>
          </w:p>
        </w:tc>
        <w:tc>
          <w:tcPr>
            <w:tcW w:w="2693" w:type="dxa"/>
          </w:tcPr>
          <w:p w:rsidR="003E3249" w:rsidRPr="00E64414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P7S_KR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P7S_KK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P7S_KO</w:t>
            </w:r>
          </w:p>
        </w:tc>
      </w:tr>
      <w:tr w:rsidR="003E3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K5</w:t>
            </w:r>
          </w:p>
        </w:tc>
        <w:tc>
          <w:tcPr>
            <w:tcW w:w="4962" w:type="dxa"/>
            <w:shd w:val="clear" w:color="auto" w:fill="auto"/>
          </w:tcPr>
          <w:p w:rsidR="003E3249" w:rsidRPr="003E3249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3E3249">
              <w:rPr>
                <w:rFonts w:ascii="Calibri" w:hAnsi="Calibri" w:cs="Calibri"/>
                <w:sz w:val="22"/>
                <w:szCs w:val="22"/>
              </w:rPr>
              <w:t>rozwiązywania złożonych problemów etycznych związanych z wykonywaniem zawodu położnej i wskazywania priorytetów w realizacji czynności zawodowych;</w:t>
            </w:r>
          </w:p>
        </w:tc>
        <w:tc>
          <w:tcPr>
            <w:tcW w:w="2693" w:type="dxa"/>
          </w:tcPr>
          <w:p w:rsidR="003E3249" w:rsidRPr="00E64414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P7S_KR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P7S_KK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P7S_KO</w:t>
            </w:r>
          </w:p>
        </w:tc>
      </w:tr>
      <w:tr w:rsidR="003E3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K6</w:t>
            </w:r>
          </w:p>
        </w:tc>
        <w:tc>
          <w:tcPr>
            <w:tcW w:w="4962" w:type="dxa"/>
            <w:shd w:val="clear" w:color="auto" w:fill="auto"/>
          </w:tcPr>
          <w:p w:rsidR="003E3249" w:rsidRPr="003E3249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3E3249">
              <w:rPr>
                <w:rFonts w:ascii="Calibri" w:hAnsi="Calibri" w:cs="Calibri"/>
                <w:sz w:val="22"/>
                <w:szCs w:val="22"/>
              </w:rPr>
              <w:t>ponoszenia odpowiedzialności za realizowanie świadczeń zdrowotnych;</w:t>
            </w:r>
          </w:p>
        </w:tc>
        <w:tc>
          <w:tcPr>
            <w:tcW w:w="2693" w:type="dxa"/>
          </w:tcPr>
          <w:p w:rsidR="003E3249" w:rsidRPr="00E64414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P7S_KR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P7S_KK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P7S_KO</w:t>
            </w:r>
          </w:p>
        </w:tc>
      </w:tr>
      <w:tr w:rsidR="003E3249" w:rsidRPr="0080003B" w:rsidTr="00781CD8">
        <w:trPr>
          <w:cantSplit/>
        </w:trPr>
        <w:tc>
          <w:tcPr>
            <w:tcW w:w="993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lastRenderedPageBreak/>
              <w:t>K7</w:t>
            </w:r>
          </w:p>
        </w:tc>
        <w:tc>
          <w:tcPr>
            <w:tcW w:w="4962" w:type="dxa"/>
            <w:shd w:val="clear" w:color="auto" w:fill="auto"/>
          </w:tcPr>
          <w:p w:rsidR="003E3249" w:rsidRPr="003E3249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3E3249">
              <w:rPr>
                <w:rFonts w:ascii="Calibri" w:hAnsi="Calibri" w:cs="Calibri"/>
                <w:sz w:val="22"/>
                <w:szCs w:val="22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2693" w:type="dxa"/>
          </w:tcPr>
          <w:p w:rsidR="003E3249" w:rsidRPr="00E64414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64414">
              <w:rPr>
                <w:rFonts w:ascii="Calibri" w:hAnsi="Calibri" w:cs="Calibri"/>
                <w:bCs/>
                <w:sz w:val="22"/>
                <w:szCs w:val="22"/>
              </w:rPr>
              <w:t xml:space="preserve">dyscyplina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nauki</w:t>
            </w:r>
            <w:r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 zdrowiu</w:t>
            </w:r>
          </w:p>
        </w:tc>
        <w:tc>
          <w:tcPr>
            <w:tcW w:w="2268" w:type="dxa"/>
            <w:shd w:val="clear" w:color="auto" w:fill="auto"/>
          </w:tcPr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P7S_KR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P7S_KK</w:t>
            </w:r>
          </w:p>
          <w:p w:rsidR="003E3249" w:rsidRPr="00DD423C" w:rsidRDefault="003E3249" w:rsidP="00781CD8">
            <w:pPr>
              <w:tabs>
                <w:tab w:val="left" w:pos="5670"/>
              </w:tabs>
              <w:spacing w:after="0" w:line="300" w:lineRule="auto"/>
              <w:rPr>
                <w:rFonts w:ascii="Calibri" w:hAnsi="Calibri" w:cs="Calibri"/>
              </w:rPr>
            </w:pPr>
            <w:r w:rsidRPr="00DD423C">
              <w:rPr>
                <w:rFonts w:ascii="Calibri" w:hAnsi="Calibri" w:cs="Calibri"/>
              </w:rPr>
              <w:t>P7S_KO</w:t>
            </w:r>
          </w:p>
        </w:tc>
      </w:tr>
    </w:tbl>
    <w:p w:rsidR="00EB6108" w:rsidRPr="0080003B" w:rsidRDefault="00EB6108" w:rsidP="00781CD8">
      <w:pPr>
        <w:pStyle w:val="Nagwek2"/>
        <w:numPr>
          <w:ilvl w:val="0"/>
          <w:numId w:val="0"/>
        </w:numPr>
      </w:pPr>
    </w:p>
    <w:sectPr w:rsidR="00EB6108" w:rsidRPr="0080003B" w:rsidSect="00781CD8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724"/>
    <w:multiLevelType w:val="hybridMultilevel"/>
    <w:tmpl w:val="BDCE08F2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97B8F08E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5568"/>
    <w:rsid w:val="00057741"/>
    <w:rsid w:val="00082946"/>
    <w:rsid w:val="00087803"/>
    <w:rsid w:val="00091EB4"/>
    <w:rsid w:val="00095986"/>
    <w:rsid w:val="00096D34"/>
    <w:rsid w:val="000973A5"/>
    <w:rsid w:val="000A0A89"/>
    <w:rsid w:val="000A0ECB"/>
    <w:rsid w:val="000A31BF"/>
    <w:rsid w:val="000B2D6D"/>
    <w:rsid w:val="000B5709"/>
    <w:rsid w:val="000C5B5B"/>
    <w:rsid w:val="000E578A"/>
    <w:rsid w:val="000E5E99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83916"/>
    <w:rsid w:val="001A034A"/>
    <w:rsid w:val="001A7D01"/>
    <w:rsid w:val="001B08A5"/>
    <w:rsid w:val="001B2921"/>
    <w:rsid w:val="001B572B"/>
    <w:rsid w:val="001C0D5C"/>
    <w:rsid w:val="001E168A"/>
    <w:rsid w:val="001F3B1B"/>
    <w:rsid w:val="001F44A0"/>
    <w:rsid w:val="0021320D"/>
    <w:rsid w:val="00252929"/>
    <w:rsid w:val="00253E98"/>
    <w:rsid w:val="00255DE0"/>
    <w:rsid w:val="00261B90"/>
    <w:rsid w:val="0026333C"/>
    <w:rsid w:val="00264629"/>
    <w:rsid w:val="002677FF"/>
    <w:rsid w:val="00271472"/>
    <w:rsid w:val="00272C25"/>
    <w:rsid w:val="00276E86"/>
    <w:rsid w:val="002803C4"/>
    <w:rsid w:val="002822F5"/>
    <w:rsid w:val="00284BB4"/>
    <w:rsid w:val="002A1160"/>
    <w:rsid w:val="002A4B8B"/>
    <w:rsid w:val="002B0101"/>
    <w:rsid w:val="002B3A86"/>
    <w:rsid w:val="002B7CC1"/>
    <w:rsid w:val="002D0499"/>
    <w:rsid w:val="002D077C"/>
    <w:rsid w:val="002E1660"/>
    <w:rsid w:val="002E4534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40A8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7688"/>
    <w:rsid w:val="003E3249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D0ADE"/>
    <w:rsid w:val="004D1249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2FBA"/>
    <w:rsid w:val="00603087"/>
    <w:rsid w:val="0061367F"/>
    <w:rsid w:val="00643811"/>
    <w:rsid w:val="00652053"/>
    <w:rsid w:val="00654B9A"/>
    <w:rsid w:val="00655398"/>
    <w:rsid w:val="00656C28"/>
    <w:rsid w:val="00656E54"/>
    <w:rsid w:val="006621E0"/>
    <w:rsid w:val="00664CE6"/>
    <w:rsid w:val="00672FB3"/>
    <w:rsid w:val="00690BEE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6AEB"/>
    <w:rsid w:val="00743B8D"/>
    <w:rsid w:val="00760366"/>
    <w:rsid w:val="0076148B"/>
    <w:rsid w:val="00776781"/>
    <w:rsid w:val="00781CD8"/>
    <w:rsid w:val="007940DD"/>
    <w:rsid w:val="007964DE"/>
    <w:rsid w:val="007A2A56"/>
    <w:rsid w:val="007A2E05"/>
    <w:rsid w:val="007A5C9E"/>
    <w:rsid w:val="007A5FC0"/>
    <w:rsid w:val="007C1EA5"/>
    <w:rsid w:val="007D5661"/>
    <w:rsid w:val="007E2F18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819"/>
    <w:rsid w:val="00845A66"/>
    <w:rsid w:val="0085516F"/>
    <w:rsid w:val="008579C2"/>
    <w:rsid w:val="00857F68"/>
    <w:rsid w:val="00863945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D6FE2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3895"/>
    <w:rsid w:val="009759FD"/>
    <w:rsid w:val="00982BAB"/>
    <w:rsid w:val="009A5474"/>
    <w:rsid w:val="009B2441"/>
    <w:rsid w:val="009B68AC"/>
    <w:rsid w:val="009C05F6"/>
    <w:rsid w:val="009D0C77"/>
    <w:rsid w:val="009E7923"/>
    <w:rsid w:val="009F2D01"/>
    <w:rsid w:val="009F6556"/>
    <w:rsid w:val="00A03DD9"/>
    <w:rsid w:val="00A21337"/>
    <w:rsid w:val="00A417C4"/>
    <w:rsid w:val="00A55229"/>
    <w:rsid w:val="00A6068A"/>
    <w:rsid w:val="00A84EED"/>
    <w:rsid w:val="00A856BF"/>
    <w:rsid w:val="00A91C64"/>
    <w:rsid w:val="00AA66F7"/>
    <w:rsid w:val="00AB109C"/>
    <w:rsid w:val="00AC35E5"/>
    <w:rsid w:val="00AD4D66"/>
    <w:rsid w:val="00AE303E"/>
    <w:rsid w:val="00AF12E1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16FA"/>
    <w:rsid w:val="00B73FC4"/>
    <w:rsid w:val="00B75779"/>
    <w:rsid w:val="00B80A8E"/>
    <w:rsid w:val="00B81894"/>
    <w:rsid w:val="00B83A2C"/>
    <w:rsid w:val="00B84770"/>
    <w:rsid w:val="00B967DB"/>
    <w:rsid w:val="00BC79F5"/>
    <w:rsid w:val="00BE2289"/>
    <w:rsid w:val="00BE2E86"/>
    <w:rsid w:val="00BE6E48"/>
    <w:rsid w:val="00BF2575"/>
    <w:rsid w:val="00C01CAD"/>
    <w:rsid w:val="00C16730"/>
    <w:rsid w:val="00C2316B"/>
    <w:rsid w:val="00C24D9E"/>
    <w:rsid w:val="00C26267"/>
    <w:rsid w:val="00C37BFD"/>
    <w:rsid w:val="00C54CA4"/>
    <w:rsid w:val="00C7247A"/>
    <w:rsid w:val="00C777A5"/>
    <w:rsid w:val="00C93A16"/>
    <w:rsid w:val="00C95B57"/>
    <w:rsid w:val="00C979FC"/>
    <w:rsid w:val="00CA2665"/>
    <w:rsid w:val="00CA7A95"/>
    <w:rsid w:val="00CB126B"/>
    <w:rsid w:val="00CB3DFF"/>
    <w:rsid w:val="00CB6739"/>
    <w:rsid w:val="00CC6671"/>
    <w:rsid w:val="00CD53FA"/>
    <w:rsid w:val="00CF2299"/>
    <w:rsid w:val="00CF62C4"/>
    <w:rsid w:val="00D0413A"/>
    <w:rsid w:val="00D13A3F"/>
    <w:rsid w:val="00D14AE4"/>
    <w:rsid w:val="00D37508"/>
    <w:rsid w:val="00D44649"/>
    <w:rsid w:val="00D538B5"/>
    <w:rsid w:val="00D60C6C"/>
    <w:rsid w:val="00D67DE9"/>
    <w:rsid w:val="00D77B0C"/>
    <w:rsid w:val="00D8436F"/>
    <w:rsid w:val="00DA4852"/>
    <w:rsid w:val="00DA535C"/>
    <w:rsid w:val="00DA5FFC"/>
    <w:rsid w:val="00DB76C7"/>
    <w:rsid w:val="00DC2D8A"/>
    <w:rsid w:val="00DC2F57"/>
    <w:rsid w:val="00DC6702"/>
    <w:rsid w:val="00DC7574"/>
    <w:rsid w:val="00DD6328"/>
    <w:rsid w:val="00DE1839"/>
    <w:rsid w:val="00DE6BB0"/>
    <w:rsid w:val="00E075D3"/>
    <w:rsid w:val="00E154EE"/>
    <w:rsid w:val="00E278DD"/>
    <w:rsid w:val="00E50F20"/>
    <w:rsid w:val="00E64414"/>
    <w:rsid w:val="00E901AC"/>
    <w:rsid w:val="00E90C20"/>
    <w:rsid w:val="00E94FEB"/>
    <w:rsid w:val="00EB6108"/>
    <w:rsid w:val="00EC0EE5"/>
    <w:rsid w:val="00EC5660"/>
    <w:rsid w:val="00EC5822"/>
    <w:rsid w:val="00EC6AFA"/>
    <w:rsid w:val="00ED2620"/>
    <w:rsid w:val="00EE7CBF"/>
    <w:rsid w:val="00EF1053"/>
    <w:rsid w:val="00F066DC"/>
    <w:rsid w:val="00F1389D"/>
    <w:rsid w:val="00F3522D"/>
    <w:rsid w:val="00F439A8"/>
    <w:rsid w:val="00F43C76"/>
    <w:rsid w:val="00F55CE8"/>
    <w:rsid w:val="00F70A5C"/>
    <w:rsid w:val="00F84B7E"/>
    <w:rsid w:val="00F90478"/>
    <w:rsid w:val="00F91F35"/>
    <w:rsid w:val="00FA1D88"/>
    <w:rsid w:val="00FA1E69"/>
    <w:rsid w:val="00FB5248"/>
    <w:rsid w:val="00FB757F"/>
    <w:rsid w:val="00FB7E3F"/>
    <w:rsid w:val="00FC089C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335B2-A23C-4589-B2DF-EECCC933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781CD8"/>
    <w:pPr>
      <w:numPr>
        <w:ilvl w:val="1"/>
      </w:numPr>
      <w:spacing w:after="0" w:line="300" w:lineRule="auto"/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781CD8"/>
    <w:rPr>
      <w:rFonts w:ascii="Calibri" w:eastAsia="Calibri" w:hAnsi="Calibri"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9540-A814-4269-AE51-5F917157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6921</Words>
  <Characters>41527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sie położnictwo studia II stopnia stacjonarne/ niestacjonarne</vt:lpstr>
    </vt:vector>
  </TitlesOfParts>
  <Company>Hewlett-Packard Company</Company>
  <LinksUpToDate>false</LinksUpToDate>
  <CharactersWithSpaces>48352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171/2022.13.1 efekty połoznictwo studia II stopnia stacjonanrne niestacjonanrne</dc:title>
  <dc:creator>User</dc:creator>
  <cp:lastModifiedBy>Anna Drożdżewicz</cp:lastModifiedBy>
  <cp:revision>5</cp:revision>
  <cp:lastPrinted>2022-05-12T07:43:00Z</cp:lastPrinted>
  <dcterms:created xsi:type="dcterms:W3CDTF">2022-05-06T11:31:00Z</dcterms:created>
  <dcterms:modified xsi:type="dcterms:W3CDTF">2022-05-12T07:43:00Z</dcterms:modified>
</cp:coreProperties>
</file>