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B" w:rsidRPr="006E53FE" w:rsidRDefault="00E03C4B" w:rsidP="002460FB">
      <w:pPr>
        <w:pStyle w:val="Tytu"/>
        <w:spacing w:line="360" w:lineRule="auto"/>
      </w:pPr>
      <w:r w:rsidRPr="006E53FE">
        <w:rPr>
          <w:lang w:val="en-GB"/>
        </w:rPr>
        <w:t>Order no. 90/2021</w:t>
      </w:r>
    </w:p>
    <w:p w:rsidR="002460FB" w:rsidRPr="006E53FE" w:rsidRDefault="00E03C4B" w:rsidP="002460FB">
      <w:pPr>
        <w:pStyle w:val="Tytu"/>
        <w:spacing w:line="360" w:lineRule="auto"/>
      </w:pPr>
      <w:r w:rsidRPr="006E53FE">
        <w:rPr>
          <w:lang w:val="en-GB"/>
        </w:rPr>
        <w:t>of the Rector of the Medical University of Bialystok</w:t>
      </w:r>
    </w:p>
    <w:p w:rsidR="002460FB" w:rsidRPr="006E53FE" w:rsidRDefault="00E03C4B" w:rsidP="002460FB">
      <w:pPr>
        <w:pStyle w:val="Tytu"/>
        <w:spacing w:line="360" w:lineRule="auto"/>
      </w:pPr>
      <w:r>
        <w:rPr>
          <w:lang w:val="en-GB"/>
        </w:rPr>
        <w:t>dated 2.09.2021</w:t>
      </w:r>
    </w:p>
    <w:p w:rsidR="002460FB" w:rsidRPr="006E53FE" w:rsidRDefault="00E03C4B" w:rsidP="002460FB">
      <w:pPr>
        <w:spacing w:after="240" w:line="360" w:lineRule="auto"/>
        <w:rPr>
          <w:rFonts w:asciiTheme="minorHAnsi" w:hAnsiTheme="minorHAnsi" w:cstheme="minorHAnsi"/>
          <w:b/>
          <w:sz w:val="24"/>
          <w:szCs w:val="24"/>
        </w:rPr>
      </w:pPr>
      <w:bookmarkStart w:id="0" w:name="_GoBack"/>
      <w:r w:rsidRPr="006E53FE">
        <w:rPr>
          <w:rFonts w:asciiTheme="minorHAnsi" w:hAnsiTheme="minorHAnsi" w:cstheme="minorHAnsi"/>
          <w:b/>
          <w:sz w:val="24"/>
          <w:szCs w:val="24"/>
          <w:lang w:val="en-GB"/>
        </w:rPr>
        <w:t>on the obligation to apply the provisions of the act on ensuring accessibility to persons with special needs in agreements concluded by the Medical University of Bialystok</w:t>
      </w:r>
      <w:bookmarkEnd w:id="0"/>
      <w:r w:rsidRPr="006E53FE">
        <w:rPr>
          <w:rFonts w:asciiTheme="minorHAnsi" w:hAnsiTheme="minorHAnsi" w:cstheme="minorHAnsi"/>
          <w:b/>
          <w:sz w:val="24"/>
          <w:szCs w:val="24"/>
          <w:lang w:val="en-GB"/>
        </w:rPr>
        <w:t xml:space="preserve"> </w:t>
      </w:r>
    </w:p>
    <w:p w:rsidR="002460FB" w:rsidRPr="006E53FE" w:rsidRDefault="00E03C4B" w:rsidP="002460FB">
      <w:pPr>
        <w:pStyle w:val="Tekstpodstawowy"/>
        <w:spacing w:line="360" w:lineRule="auto"/>
        <w:rPr>
          <w:rFonts w:asciiTheme="minorHAnsi" w:hAnsiTheme="minorHAnsi" w:cstheme="minorHAnsi"/>
        </w:rPr>
      </w:pPr>
      <w:r w:rsidRPr="006E53FE">
        <w:rPr>
          <w:rFonts w:asciiTheme="minorHAnsi" w:hAnsiTheme="minorHAnsi" w:cstheme="minorHAnsi"/>
          <w:lang w:val="en-GB"/>
        </w:rPr>
        <w:t xml:space="preserve">Pursuant to § 23 section 2 of the Act of 20 July 2018 The Law on Higher Education </w:t>
      </w:r>
    </w:p>
    <w:p w:rsidR="002460FB" w:rsidRPr="006E53FE" w:rsidRDefault="00E03C4B" w:rsidP="002460FB">
      <w:pPr>
        <w:pStyle w:val="Tekstpodstawowy"/>
        <w:spacing w:after="240" w:line="360" w:lineRule="auto"/>
        <w:rPr>
          <w:rFonts w:asciiTheme="minorHAnsi" w:hAnsiTheme="minorHAnsi" w:cstheme="minorHAnsi"/>
        </w:rPr>
      </w:pPr>
      <w:r w:rsidRPr="006E53FE">
        <w:rPr>
          <w:rFonts w:asciiTheme="minorHAnsi" w:hAnsiTheme="minorHAnsi" w:cstheme="minorHAnsi"/>
          <w:lang w:val="en-GB"/>
        </w:rPr>
        <w:t>and Science (i.e. Journal of Laws of 2021, item 478 as amended) and art. 6 of the Act of 19 July 2019 on ensuring accessibility to people with special needs (Journal of Laws of 2020, item 1062 as amended) I order the following:</w:t>
      </w:r>
    </w:p>
    <w:p w:rsidR="002460FB" w:rsidRPr="006E53FE" w:rsidRDefault="00E03C4B" w:rsidP="002460FB">
      <w:pPr>
        <w:spacing w:line="360" w:lineRule="auto"/>
        <w:rPr>
          <w:rFonts w:asciiTheme="minorHAnsi" w:hAnsiTheme="minorHAnsi" w:cstheme="minorHAnsi"/>
          <w:b/>
          <w:sz w:val="24"/>
          <w:szCs w:val="24"/>
        </w:rPr>
      </w:pPr>
      <w:r w:rsidRPr="006E53FE">
        <w:rPr>
          <w:rFonts w:asciiTheme="minorHAnsi" w:hAnsiTheme="minorHAnsi" w:cstheme="minorHAnsi"/>
          <w:b/>
          <w:sz w:val="24"/>
          <w:szCs w:val="24"/>
          <w:lang w:val="en-GB"/>
        </w:rPr>
        <w:t>§ 1</w:t>
      </w:r>
    </w:p>
    <w:p w:rsidR="002460FB" w:rsidRPr="006E53FE" w:rsidRDefault="00E03C4B" w:rsidP="002460FB">
      <w:pPr>
        <w:spacing w:line="360" w:lineRule="auto"/>
        <w:rPr>
          <w:rFonts w:asciiTheme="minorHAnsi" w:hAnsiTheme="minorHAnsi" w:cstheme="minorHAnsi"/>
          <w:sz w:val="24"/>
          <w:szCs w:val="24"/>
        </w:rPr>
      </w:pPr>
      <w:r w:rsidRPr="006E53FE">
        <w:rPr>
          <w:rFonts w:asciiTheme="minorHAnsi" w:hAnsiTheme="minorHAnsi" w:cstheme="minorHAnsi"/>
          <w:sz w:val="24"/>
          <w:szCs w:val="24"/>
          <w:lang w:val="en-GB"/>
        </w:rPr>
        <w:t>In all templates of agre</w:t>
      </w:r>
      <w:r w:rsidRPr="006E53FE">
        <w:rPr>
          <w:rFonts w:asciiTheme="minorHAnsi" w:hAnsiTheme="minorHAnsi" w:cstheme="minorHAnsi"/>
          <w:sz w:val="24"/>
          <w:szCs w:val="24"/>
          <w:lang w:val="en-GB"/>
        </w:rPr>
        <w:t>ements specified by the Rector's Orders, as well as in all agreements concluded by the University, there shall be an obligation to include an entry with the following content:</w:t>
      </w:r>
    </w:p>
    <w:p w:rsidR="002460FB" w:rsidRPr="00C637C0" w:rsidRDefault="00E03C4B" w:rsidP="00C637C0">
      <w:pPr>
        <w:tabs>
          <w:tab w:val="left" w:pos="239"/>
        </w:tabs>
        <w:spacing w:line="360" w:lineRule="auto"/>
        <w:ind w:left="284" w:hanging="284"/>
        <w:rPr>
          <w:rFonts w:asciiTheme="minorHAnsi" w:hAnsiTheme="minorHAnsi" w:cstheme="minorHAnsi"/>
          <w:sz w:val="24"/>
          <w:szCs w:val="24"/>
        </w:rPr>
      </w:pPr>
      <w:r>
        <w:rPr>
          <w:rFonts w:asciiTheme="minorHAnsi" w:hAnsiTheme="minorHAnsi" w:cstheme="minorHAnsi"/>
          <w:w w:val="105"/>
          <w:sz w:val="24"/>
          <w:szCs w:val="24"/>
          <w:lang w:val="en-GB"/>
        </w:rPr>
        <w:t xml:space="preserve">„1. While carrying out a public task covered by this agreement, the contracting </w:t>
      </w:r>
      <w:r>
        <w:rPr>
          <w:rFonts w:asciiTheme="minorHAnsi" w:hAnsiTheme="minorHAnsi" w:cstheme="minorHAnsi"/>
          <w:w w:val="105"/>
          <w:sz w:val="24"/>
          <w:szCs w:val="24"/>
          <w:lang w:val="en-GB"/>
        </w:rPr>
        <w:t>party shall be obliged to provide architectural, digital, as well as information and communication accessibility to persons with special needs, at least to the extent specified by the minimum requirements referred to in Article 6 of the Act of 19 July 2019</w:t>
      </w:r>
      <w:r>
        <w:rPr>
          <w:rFonts w:asciiTheme="minorHAnsi" w:hAnsiTheme="minorHAnsi" w:cstheme="minorHAnsi"/>
          <w:w w:val="105"/>
          <w:sz w:val="24"/>
          <w:szCs w:val="24"/>
          <w:lang w:val="en-GB"/>
        </w:rPr>
        <w:t xml:space="preserve"> on ensuring accessibility to persons with special needs. Minimum requirements to ensure accessibility to people with special needs include:</w:t>
      </w:r>
    </w:p>
    <w:p w:rsidR="002460FB" w:rsidRPr="00DA7DEE" w:rsidRDefault="00E03C4B" w:rsidP="002460FB">
      <w:pPr>
        <w:pStyle w:val="Akapitzlist"/>
        <w:numPr>
          <w:ilvl w:val="0"/>
          <w:numId w:val="2"/>
        </w:numPr>
        <w:spacing w:line="360" w:lineRule="auto"/>
        <w:rPr>
          <w:rFonts w:asciiTheme="minorHAnsi" w:hAnsiTheme="minorHAnsi" w:cstheme="minorHAnsi"/>
          <w:w w:val="105"/>
          <w:sz w:val="24"/>
          <w:szCs w:val="24"/>
          <w:u w:val="single" w:color="545656"/>
        </w:rPr>
      </w:pPr>
      <w:r w:rsidRPr="00DA7DEE">
        <w:rPr>
          <w:rFonts w:asciiTheme="minorHAnsi" w:hAnsiTheme="minorHAnsi" w:cstheme="minorHAnsi"/>
          <w:w w:val="105"/>
          <w:sz w:val="24"/>
          <w:szCs w:val="24"/>
          <w:u w:val="single" w:color="545656"/>
          <w:lang w:val="en-GB"/>
        </w:rPr>
        <w:t>in terms of architectural accessibility:</w:t>
      </w:r>
    </w:p>
    <w:p w:rsidR="002460FB" w:rsidRPr="00570B37" w:rsidRDefault="00E03C4B" w:rsidP="002460FB">
      <w:pPr>
        <w:pStyle w:val="Akapitzlist"/>
        <w:numPr>
          <w:ilvl w:val="0"/>
          <w:numId w:val="3"/>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ensuring horizontal and vertical barrier-free spaces,</w:t>
      </w:r>
    </w:p>
    <w:p w:rsidR="002460FB" w:rsidRPr="00570B37" w:rsidRDefault="00E03C4B" w:rsidP="002460FB">
      <w:pPr>
        <w:pStyle w:val="Akapitzlist"/>
        <w:numPr>
          <w:ilvl w:val="0"/>
          <w:numId w:val="3"/>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 xml:space="preserve">communication </w:t>
      </w:r>
      <w:r w:rsidRPr="00570B37">
        <w:rPr>
          <w:rFonts w:asciiTheme="minorHAnsi" w:hAnsiTheme="minorHAnsi" w:cstheme="minorHAnsi"/>
          <w:sz w:val="24"/>
          <w:szCs w:val="24"/>
          <w:lang w:val="en-GB"/>
        </w:rPr>
        <w:t>buildings,</w:t>
      </w:r>
    </w:p>
    <w:p w:rsidR="002460FB" w:rsidRPr="00570B37" w:rsidRDefault="00E03C4B" w:rsidP="002460FB">
      <w:pPr>
        <w:pStyle w:val="Akapitzlist"/>
        <w:numPr>
          <w:ilvl w:val="0"/>
          <w:numId w:val="3"/>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 xml:space="preserve">installing equipment or applying technical measures and architectural solutions in a building that allow access to all premises, </w:t>
      </w:r>
      <w:r w:rsidRPr="00570B37">
        <w:rPr>
          <w:rFonts w:asciiTheme="minorHAnsi" w:hAnsiTheme="minorHAnsi" w:cstheme="minorHAnsi"/>
          <w:sz w:val="24"/>
          <w:szCs w:val="24"/>
          <w:lang w:val="en-GB"/>
        </w:rPr>
        <w:br/>
        <w:t>excluding technical rooms,</w:t>
      </w:r>
    </w:p>
    <w:p w:rsidR="002460FB" w:rsidRPr="00570B37" w:rsidRDefault="00E03C4B" w:rsidP="002460FB">
      <w:pPr>
        <w:pStyle w:val="Akapitzlist"/>
        <w:numPr>
          <w:ilvl w:val="0"/>
          <w:numId w:val="3"/>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 xml:space="preserve">providing information on the layout of the premises in the building, at least </w:t>
      </w:r>
      <w:r w:rsidRPr="00570B37">
        <w:rPr>
          <w:rFonts w:asciiTheme="minorHAnsi" w:hAnsiTheme="minorHAnsi" w:cstheme="minorHAnsi"/>
          <w:sz w:val="24"/>
          <w:szCs w:val="24"/>
          <w:lang w:val="en-GB"/>
        </w:rPr>
        <w:br/>
        <w:t>visual an</w:t>
      </w:r>
      <w:r w:rsidRPr="00570B37">
        <w:rPr>
          <w:rFonts w:asciiTheme="minorHAnsi" w:hAnsiTheme="minorHAnsi" w:cstheme="minorHAnsi"/>
          <w:sz w:val="24"/>
          <w:szCs w:val="24"/>
          <w:lang w:val="en-GB"/>
        </w:rPr>
        <w:t>d tactile or audio,</w:t>
      </w:r>
    </w:p>
    <w:p w:rsidR="002460FB" w:rsidRPr="00570B37" w:rsidRDefault="00E03C4B" w:rsidP="002460FB">
      <w:pPr>
        <w:pStyle w:val="Akapitzlist"/>
        <w:numPr>
          <w:ilvl w:val="0"/>
          <w:numId w:val="3"/>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 xml:space="preserve">providing access to the building to a person using an assistance dog, referred to in art. 2 point 11 of the Act of 27 August 1997 on occupational and </w:t>
      </w:r>
      <w:r w:rsidRPr="00570B37">
        <w:rPr>
          <w:rFonts w:asciiTheme="minorHAnsi" w:hAnsiTheme="minorHAnsi" w:cstheme="minorHAnsi"/>
          <w:sz w:val="24"/>
          <w:szCs w:val="24"/>
          <w:lang w:val="en-GB"/>
        </w:rPr>
        <w:br/>
        <w:t xml:space="preserve">social rehabilitation as well as employment of persons with disabilities (Journal of </w:t>
      </w:r>
      <w:r w:rsidRPr="00570B37">
        <w:rPr>
          <w:rFonts w:asciiTheme="minorHAnsi" w:hAnsiTheme="minorHAnsi" w:cstheme="minorHAnsi"/>
          <w:sz w:val="24"/>
          <w:szCs w:val="24"/>
          <w:lang w:val="en-GB"/>
        </w:rPr>
        <w:t>Laws of 2021 item 573 ),</w:t>
      </w:r>
    </w:p>
    <w:p w:rsidR="002460FB" w:rsidRDefault="00E03C4B" w:rsidP="002460FB">
      <w:pPr>
        <w:pStyle w:val="Akapitzlist"/>
        <w:numPr>
          <w:ilvl w:val="0"/>
          <w:numId w:val="3"/>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ensuring that persons with special needs can be evacuated or otherwise rescued;</w:t>
      </w:r>
    </w:p>
    <w:p w:rsidR="002460FB" w:rsidRPr="00570B37" w:rsidRDefault="00E03C4B" w:rsidP="002460FB">
      <w:pPr>
        <w:pStyle w:val="Akapitzlist"/>
        <w:numPr>
          <w:ilvl w:val="0"/>
          <w:numId w:val="2"/>
        </w:numPr>
        <w:spacing w:line="360" w:lineRule="auto"/>
        <w:rPr>
          <w:rFonts w:asciiTheme="minorHAnsi" w:hAnsiTheme="minorHAnsi" w:cstheme="minorHAnsi"/>
          <w:w w:val="105"/>
          <w:sz w:val="24"/>
          <w:szCs w:val="24"/>
          <w:u w:val="thick" w:color="545656"/>
        </w:rPr>
      </w:pPr>
      <w:r w:rsidRPr="00570B37">
        <w:rPr>
          <w:rFonts w:asciiTheme="minorHAnsi" w:hAnsiTheme="minorHAnsi" w:cstheme="minorHAnsi"/>
          <w:sz w:val="24"/>
          <w:szCs w:val="24"/>
          <w:u w:val="single"/>
          <w:lang w:val="en-GB"/>
        </w:rPr>
        <w:t>in terms of digital accessibility</w:t>
      </w:r>
      <w:r w:rsidRPr="00570B37">
        <w:rPr>
          <w:rFonts w:asciiTheme="minorHAnsi" w:hAnsiTheme="minorHAnsi" w:cstheme="minorHAnsi"/>
          <w:sz w:val="24"/>
          <w:szCs w:val="24"/>
          <w:lang w:val="en-GB"/>
        </w:rPr>
        <w:t xml:space="preserve"> - the requirements set out in the Act of 4 April 2019 on the </w:t>
      </w:r>
      <w:r w:rsidRPr="00570B37">
        <w:rPr>
          <w:rFonts w:asciiTheme="minorHAnsi" w:hAnsiTheme="minorHAnsi" w:cstheme="minorHAnsi"/>
          <w:sz w:val="24"/>
          <w:szCs w:val="24"/>
          <w:lang w:val="en-GB"/>
        </w:rPr>
        <w:lastRenderedPageBreak/>
        <w:t>digital accessibility of websites and mobile application</w:t>
      </w:r>
      <w:r w:rsidRPr="00570B37">
        <w:rPr>
          <w:rFonts w:asciiTheme="minorHAnsi" w:hAnsiTheme="minorHAnsi" w:cstheme="minorHAnsi"/>
          <w:sz w:val="24"/>
          <w:szCs w:val="24"/>
          <w:lang w:val="en-GB"/>
        </w:rPr>
        <w:t>s operated by public entities;</w:t>
      </w:r>
    </w:p>
    <w:p w:rsidR="002460FB" w:rsidRPr="00570B37" w:rsidRDefault="00E03C4B" w:rsidP="002460FB">
      <w:pPr>
        <w:pStyle w:val="Akapitzlist"/>
        <w:numPr>
          <w:ilvl w:val="0"/>
          <w:numId w:val="2"/>
        </w:numPr>
        <w:spacing w:line="360" w:lineRule="auto"/>
        <w:rPr>
          <w:rFonts w:asciiTheme="minorHAnsi" w:hAnsiTheme="minorHAnsi" w:cstheme="minorHAnsi"/>
          <w:w w:val="105"/>
          <w:sz w:val="24"/>
          <w:szCs w:val="24"/>
          <w:u w:val="thick" w:color="545656"/>
        </w:rPr>
      </w:pPr>
      <w:r w:rsidRPr="00570B37">
        <w:rPr>
          <w:rFonts w:asciiTheme="minorHAnsi" w:hAnsiTheme="minorHAnsi" w:cstheme="minorHAnsi"/>
          <w:sz w:val="24"/>
          <w:szCs w:val="24"/>
          <w:u w:val="single"/>
          <w:lang w:val="en-GB"/>
        </w:rPr>
        <w:t>in terms of information and communication accessibility</w:t>
      </w:r>
      <w:r w:rsidRPr="00570B37">
        <w:rPr>
          <w:rFonts w:asciiTheme="minorHAnsi" w:hAnsiTheme="minorHAnsi" w:cstheme="minorHAnsi"/>
          <w:sz w:val="24"/>
          <w:szCs w:val="24"/>
          <w:lang w:val="en-GB"/>
        </w:rPr>
        <w:t>:</w:t>
      </w:r>
    </w:p>
    <w:p w:rsidR="002460FB" w:rsidRDefault="00E03C4B" w:rsidP="002460FB">
      <w:pPr>
        <w:pStyle w:val="Akapitzlist"/>
        <w:numPr>
          <w:ilvl w:val="0"/>
          <w:numId w:val="4"/>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 xml:space="preserve">service with the use of communication means, referred to in art. 3 point 5 of the Act of 19 August 2011 on sign language and other means of communication (Jornal of </w:t>
      </w:r>
      <w:r w:rsidRPr="00570B37">
        <w:rPr>
          <w:rFonts w:asciiTheme="minorHAnsi" w:hAnsiTheme="minorHAnsi" w:cstheme="minorHAnsi"/>
          <w:sz w:val="24"/>
          <w:szCs w:val="24"/>
          <w:lang w:val="en-GB"/>
        </w:rPr>
        <w:t>Laws of 2018, item 1824), or by using online access to a translation service via websites and applications,</w:t>
      </w:r>
    </w:p>
    <w:p w:rsidR="002460FB" w:rsidRDefault="00E03C4B" w:rsidP="002460FB">
      <w:pPr>
        <w:pStyle w:val="Akapitzlist"/>
        <w:numPr>
          <w:ilvl w:val="0"/>
          <w:numId w:val="4"/>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installing devices or other technical means to provide service to persons with reduced hearing, in particular induction loops, FM systems or devices</w:t>
      </w:r>
      <w:r w:rsidRPr="00570B37">
        <w:rPr>
          <w:rFonts w:asciiTheme="minorHAnsi" w:hAnsiTheme="minorHAnsi" w:cstheme="minorHAnsi"/>
          <w:sz w:val="24"/>
          <w:szCs w:val="24"/>
          <w:lang w:val="en-GB"/>
        </w:rPr>
        <w:t xml:space="preserve"> based on other technologies, the purpose of which is to aid hearing,</w:t>
      </w:r>
    </w:p>
    <w:p w:rsidR="002460FB" w:rsidRDefault="00E03C4B" w:rsidP="002460FB">
      <w:pPr>
        <w:pStyle w:val="Akapitzlist"/>
        <w:numPr>
          <w:ilvl w:val="0"/>
          <w:numId w:val="4"/>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 xml:space="preserve">providing on the website of a given entity information about the scope of its activities - in the form of an electronic file containing machine-readable text, a recording of the content </w:t>
      </w:r>
      <w:r w:rsidRPr="00570B37">
        <w:rPr>
          <w:rFonts w:asciiTheme="minorHAnsi" w:hAnsiTheme="minorHAnsi" w:cstheme="minorHAnsi"/>
          <w:sz w:val="24"/>
          <w:szCs w:val="24"/>
          <w:lang w:val="en-GB"/>
        </w:rPr>
        <w:t>in Polish sign language and information in easy-to-read text,</w:t>
      </w:r>
    </w:p>
    <w:p w:rsidR="002460FB" w:rsidRPr="00570B37" w:rsidRDefault="00E03C4B" w:rsidP="002460FB">
      <w:pPr>
        <w:pStyle w:val="Akapitzlist"/>
        <w:numPr>
          <w:ilvl w:val="0"/>
          <w:numId w:val="4"/>
        </w:numPr>
        <w:spacing w:line="360" w:lineRule="auto"/>
        <w:ind w:left="1134"/>
        <w:rPr>
          <w:rFonts w:asciiTheme="minorHAnsi" w:hAnsiTheme="minorHAnsi" w:cstheme="minorHAnsi"/>
          <w:sz w:val="24"/>
          <w:szCs w:val="24"/>
        </w:rPr>
      </w:pPr>
      <w:r w:rsidRPr="00570B37">
        <w:rPr>
          <w:rFonts w:asciiTheme="minorHAnsi" w:hAnsiTheme="minorHAnsi" w:cstheme="minorHAnsi"/>
          <w:sz w:val="24"/>
          <w:szCs w:val="24"/>
          <w:lang w:val="en-GB"/>
        </w:rPr>
        <w:t>providing, at the request of a person with special needs, communication with a public entity in the form specified in that request.</w:t>
      </w:r>
    </w:p>
    <w:p w:rsidR="002460FB" w:rsidRPr="00C637C0" w:rsidRDefault="00E03C4B" w:rsidP="00C637C0">
      <w:pPr>
        <w:tabs>
          <w:tab w:val="left" w:pos="239"/>
        </w:tabs>
        <w:spacing w:line="360" w:lineRule="auto"/>
        <w:ind w:left="284" w:hanging="284"/>
        <w:jc w:val="both"/>
        <w:rPr>
          <w:rFonts w:asciiTheme="minorHAnsi" w:hAnsiTheme="minorHAnsi" w:cstheme="minorHAnsi"/>
          <w:sz w:val="24"/>
          <w:szCs w:val="24"/>
        </w:rPr>
      </w:pPr>
      <w:r>
        <w:rPr>
          <w:rFonts w:asciiTheme="minorHAnsi" w:hAnsiTheme="minorHAnsi" w:cstheme="minorHAnsi"/>
          <w:sz w:val="24"/>
          <w:szCs w:val="24"/>
          <w:lang w:val="en-GB"/>
        </w:rPr>
        <w:t>2. The provision of accessibility to persons with special need</w:t>
      </w:r>
      <w:r>
        <w:rPr>
          <w:rFonts w:asciiTheme="minorHAnsi" w:hAnsiTheme="minorHAnsi" w:cstheme="minorHAnsi"/>
          <w:sz w:val="24"/>
          <w:szCs w:val="24"/>
          <w:lang w:val="en-GB"/>
        </w:rPr>
        <w:t>s under this agreement shall be required, insofar as possible and justified by the subject matter of the agreement.”</w:t>
      </w:r>
    </w:p>
    <w:p w:rsidR="00C637C0" w:rsidRPr="00C637C0" w:rsidRDefault="00E03C4B" w:rsidP="00C637C0">
      <w:pPr>
        <w:tabs>
          <w:tab w:val="left" w:pos="239"/>
        </w:tabs>
        <w:spacing w:line="360" w:lineRule="auto"/>
        <w:ind w:left="-7"/>
        <w:rPr>
          <w:rFonts w:asciiTheme="minorHAnsi" w:hAnsiTheme="minorHAnsi" w:cstheme="minorHAnsi"/>
          <w:b/>
          <w:sz w:val="24"/>
          <w:szCs w:val="24"/>
        </w:rPr>
      </w:pPr>
      <w:r w:rsidRPr="00C637C0">
        <w:rPr>
          <w:rFonts w:ascii="Calibri" w:hAnsi="Calibri" w:cs="Calibri"/>
          <w:b/>
          <w:sz w:val="24"/>
          <w:szCs w:val="24"/>
          <w:lang w:val="en-GB"/>
        </w:rPr>
        <w:t>§ 2</w:t>
      </w:r>
    </w:p>
    <w:p w:rsidR="002460FB" w:rsidRPr="00C637C0" w:rsidRDefault="00E03C4B" w:rsidP="00C637C0">
      <w:pPr>
        <w:tabs>
          <w:tab w:val="left" w:pos="239"/>
        </w:tabs>
        <w:spacing w:line="360" w:lineRule="auto"/>
        <w:ind w:left="-7"/>
        <w:rPr>
          <w:rFonts w:asciiTheme="minorHAnsi" w:hAnsiTheme="minorHAnsi" w:cstheme="minorHAnsi"/>
          <w:sz w:val="24"/>
          <w:szCs w:val="24"/>
        </w:rPr>
      </w:pPr>
      <w:r w:rsidRPr="00C637C0">
        <w:rPr>
          <w:rFonts w:asciiTheme="minorHAnsi" w:hAnsiTheme="minorHAnsi" w:cstheme="minorHAnsi"/>
          <w:sz w:val="24"/>
          <w:szCs w:val="24"/>
          <w:lang w:val="en-GB"/>
        </w:rPr>
        <w:t xml:space="preserve">Entries with content other than § 1 are allowed provided that they meet the requirements </w:t>
      </w:r>
      <w:r w:rsidRPr="00C637C0">
        <w:rPr>
          <w:rFonts w:asciiTheme="minorHAnsi" w:hAnsiTheme="minorHAnsi" w:cstheme="minorHAnsi"/>
          <w:sz w:val="24"/>
          <w:szCs w:val="24"/>
          <w:lang w:val="en-GB"/>
        </w:rPr>
        <w:br/>
        <w:t xml:space="preserve">specified in art. 6 </w:t>
      </w:r>
      <w:r w:rsidRPr="00C637C0">
        <w:rPr>
          <w:rFonts w:asciiTheme="minorHAnsi" w:hAnsiTheme="minorHAnsi" w:cstheme="minorHAnsi"/>
          <w:lang w:val="en-GB"/>
        </w:rPr>
        <w:t xml:space="preserve">of the Act of 19 July 2019 </w:t>
      </w:r>
      <w:r w:rsidRPr="00C637C0">
        <w:rPr>
          <w:rFonts w:asciiTheme="minorHAnsi" w:hAnsiTheme="minorHAnsi" w:cstheme="minorHAnsi"/>
          <w:sz w:val="24"/>
          <w:szCs w:val="24"/>
          <w:lang w:val="en-GB"/>
        </w:rPr>
        <w:t>on ensuring accessibility to people with special needs.</w:t>
      </w:r>
    </w:p>
    <w:p w:rsidR="002460FB" w:rsidRDefault="00E03C4B" w:rsidP="002460FB">
      <w:pPr>
        <w:spacing w:line="360" w:lineRule="auto"/>
        <w:ind w:left="112"/>
        <w:rPr>
          <w:rFonts w:asciiTheme="minorHAnsi" w:hAnsiTheme="minorHAnsi" w:cstheme="minorHAnsi"/>
          <w:b/>
          <w:sz w:val="24"/>
          <w:szCs w:val="24"/>
        </w:rPr>
      </w:pPr>
      <w:r w:rsidRPr="006E53FE">
        <w:rPr>
          <w:rFonts w:asciiTheme="minorHAnsi" w:hAnsiTheme="minorHAnsi" w:cstheme="minorHAnsi"/>
          <w:b/>
          <w:sz w:val="24"/>
          <w:szCs w:val="24"/>
          <w:lang w:val="en-GB"/>
        </w:rPr>
        <w:t>§ 3</w:t>
      </w:r>
    </w:p>
    <w:p w:rsidR="002460FB" w:rsidRPr="00DA7DEE" w:rsidRDefault="00E03C4B" w:rsidP="00C637C0">
      <w:pPr>
        <w:spacing w:after="240" w:line="360" w:lineRule="auto"/>
        <w:rPr>
          <w:rFonts w:asciiTheme="minorHAnsi" w:hAnsiTheme="minorHAnsi" w:cstheme="minorHAnsi"/>
          <w:sz w:val="24"/>
          <w:szCs w:val="24"/>
        </w:rPr>
      </w:pPr>
      <w:r>
        <w:rPr>
          <w:rFonts w:asciiTheme="minorHAnsi" w:hAnsiTheme="minorHAnsi" w:cstheme="minorHAnsi"/>
          <w:sz w:val="24"/>
          <w:szCs w:val="24"/>
          <w:lang w:val="en-GB"/>
        </w:rPr>
        <w:t>This Order shall enter into force on the day of signature.</w:t>
      </w:r>
    </w:p>
    <w:p w:rsidR="002460FB" w:rsidRPr="006E53FE" w:rsidRDefault="00E03C4B" w:rsidP="002460FB">
      <w:pPr>
        <w:spacing w:after="240" w:line="360" w:lineRule="auto"/>
        <w:ind w:left="5387" w:hanging="5387"/>
        <w:jc w:val="both"/>
        <w:rPr>
          <w:rFonts w:asciiTheme="minorHAnsi" w:hAnsiTheme="minorHAnsi" w:cs="Calibri"/>
          <w:b/>
          <w:sz w:val="24"/>
          <w:szCs w:val="24"/>
        </w:rPr>
      </w:pPr>
      <w:r w:rsidRPr="006E53FE">
        <w:rPr>
          <w:rFonts w:asciiTheme="minorHAnsi" w:hAnsiTheme="minorHAnsi" w:cs="Calibri"/>
          <w:b/>
          <w:sz w:val="24"/>
          <w:szCs w:val="24"/>
          <w:lang w:val="en-GB"/>
        </w:rPr>
        <w:t>Rector</w:t>
      </w:r>
    </w:p>
    <w:p w:rsidR="006250A4" w:rsidRPr="002460FB" w:rsidRDefault="00E03C4B" w:rsidP="002460FB">
      <w:pPr>
        <w:spacing w:line="360" w:lineRule="auto"/>
        <w:ind w:left="5387" w:hanging="5387"/>
        <w:jc w:val="both"/>
        <w:rPr>
          <w:rFonts w:asciiTheme="minorHAnsi" w:hAnsiTheme="minorHAnsi" w:cs="Calibri"/>
          <w:b/>
          <w:sz w:val="24"/>
          <w:szCs w:val="24"/>
        </w:rPr>
      </w:pPr>
      <w:r w:rsidRPr="006E53FE">
        <w:rPr>
          <w:rFonts w:asciiTheme="minorHAnsi" w:hAnsiTheme="minorHAnsi" w:cs="Calibri"/>
          <w:b/>
          <w:sz w:val="24"/>
          <w:szCs w:val="24"/>
          <w:lang w:val="en-GB"/>
        </w:rPr>
        <w:t>prof. dr hab. Adam Krętowski</w:t>
      </w:r>
    </w:p>
    <w:sectPr w:rsidR="006250A4" w:rsidRPr="002460FB" w:rsidSect="00DA07E2">
      <w:pgSz w:w="11910" w:h="16840"/>
      <w:pgMar w:top="1134"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50146"/>
    <w:multiLevelType w:val="hybridMultilevel"/>
    <w:tmpl w:val="2CDC79F4"/>
    <w:lvl w:ilvl="0" w:tplc="95405D66">
      <w:start w:val="1"/>
      <w:numFmt w:val="decimal"/>
      <w:lvlText w:val="%1."/>
      <w:lvlJc w:val="left"/>
      <w:pPr>
        <w:ind w:left="274" w:hanging="260"/>
        <w:jc w:val="right"/>
      </w:pPr>
      <w:rPr>
        <w:rFonts w:hint="default"/>
        <w:spacing w:val="-1"/>
        <w:w w:val="96"/>
      </w:rPr>
    </w:lvl>
    <w:lvl w:ilvl="1" w:tplc="964EC608">
      <w:start w:val="1"/>
      <w:numFmt w:val="decimal"/>
      <w:lvlText w:val="%2)"/>
      <w:lvlJc w:val="left"/>
      <w:pPr>
        <w:ind w:left="781" w:hanging="369"/>
      </w:pPr>
      <w:rPr>
        <w:rFonts w:hint="default"/>
        <w:spacing w:val="-1"/>
        <w:w w:val="108"/>
      </w:rPr>
    </w:lvl>
    <w:lvl w:ilvl="2" w:tplc="D6725EDE">
      <w:start w:val="1"/>
      <w:numFmt w:val="lowerLetter"/>
      <w:lvlText w:val="%3)"/>
      <w:lvlJc w:val="left"/>
      <w:pPr>
        <w:ind w:left="1338" w:hanging="362"/>
        <w:jc w:val="right"/>
      </w:pPr>
      <w:rPr>
        <w:rFonts w:hint="default"/>
        <w:spacing w:val="-1"/>
        <w:w w:val="103"/>
      </w:rPr>
    </w:lvl>
    <w:lvl w:ilvl="3" w:tplc="BE1024B4">
      <w:numFmt w:val="bullet"/>
      <w:lvlText w:val="•"/>
      <w:lvlJc w:val="left"/>
      <w:pPr>
        <w:ind w:left="2480" w:hanging="362"/>
      </w:pPr>
      <w:rPr>
        <w:rFonts w:hint="default"/>
      </w:rPr>
    </w:lvl>
    <w:lvl w:ilvl="4" w:tplc="68CAA43C">
      <w:numFmt w:val="bullet"/>
      <w:lvlText w:val="•"/>
      <w:lvlJc w:val="left"/>
      <w:pPr>
        <w:ind w:left="3621" w:hanging="362"/>
      </w:pPr>
      <w:rPr>
        <w:rFonts w:hint="default"/>
      </w:rPr>
    </w:lvl>
    <w:lvl w:ilvl="5" w:tplc="17486C9A">
      <w:numFmt w:val="bullet"/>
      <w:lvlText w:val="•"/>
      <w:lvlJc w:val="left"/>
      <w:pPr>
        <w:ind w:left="4762" w:hanging="362"/>
      </w:pPr>
      <w:rPr>
        <w:rFonts w:hint="default"/>
      </w:rPr>
    </w:lvl>
    <w:lvl w:ilvl="6" w:tplc="B6B281F0">
      <w:numFmt w:val="bullet"/>
      <w:lvlText w:val="•"/>
      <w:lvlJc w:val="left"/>
      <w:pPr>
        <w:ind w:left="5903" w:hanging="362"/>
      </w:pPr>
      <w:rPr>
        <w:rFonts w:hint="default"/>
      </w:rPr>
    </w:lvl>
    <w:lvl w:ilvl="7" w:tplc="51F481EC">
      <w:numFmt w:val="bullet"/>
      <w:lvlText w:val="•"/>
      <w:lvlJc w:val="left"/>
      <w:pPr>
        <w:ind w:left="7044" w:hanging="362"/>
      </w:pPr>
      <w:rPr>
        <w:rFonts w:hint="default"/>
      </w:rPr>
    </w:lvl>
    <w:lvl w:ilvl="8" w:tplc="C150A7CC">
      <w:numFmt w:val="bullet"/>
      <w:lvlText w:val="•"/>
      <w:lvlJc w:val="left"/>
      <w:pPr>
        <w:ind w:left="8185" w:hanging="362"/>
      </w:pPr>
      <w:rPr>
        <w:rFonts w:hint="default"/>
      </w:rPr>
    </w:lvl>
  </w:abstractNum>
  <w:abstractNum w:abstractNumId="1" w15:restartNumberingAfterBreak="0">
    <w:nsid w:val="2C4474DF"/>
    <w:multiLevelType w:val="hybridMultilevel"/>
    <w:tmpl w:val="D24642E4"/>
    <w:lvl w:ilvl="0" w:tplc="2BC489D0">
      <w:start w:val="1"/>
      <w:numFmt w:val="lowerLetter"/>
      <w:lvlText w:val="%1)"/>
      <w:lvlJc w:val="left"/>
      <w:pPr>
        <w:ind w:left="720" w:hanging="360"/>
      </w:pPr>
    </w:lvl>
    <w:lvl w:ilvl="1" w:tplc="573AD898" w:tentative="1">
      <w:start w:val="1"/>
      <w:numFmt w:val="lowerLetter"/>
      <w:lvlText w:val="%2."/>
      <w:lvlJc w:val="left"/>
      <w:pPr>
        <w:ind w:left="1440" w:hanging="360"/>
      </w:pPr>
    </w:lvl>
    <w:lvl w:ilvl="2" w:tplc="F280AB8C" w:tentative="1">
      <w:start w:val="1"/>
      <w:numFmt w:val="lowerRoman"/>
      <w:lvlText w:val="%3."/>
      <w:lvlJc w:val="right"/>
      <w:pPr>
        <w:ind w:left="2160" w:hanging="180"/>
      </w:pPr>
    </w:lvl>
    <w:lvl w:ilvl="3" w:tplc="BB4E249E" w:tentative="1">
      <w:start w:val="1"/>
      <w:numFmt w:val="decimal"/>
      <w:lvlText w:val="%4."/>
      <w:lvlJc w:val="left"/>
      <w:pPr>
        <w:ind w:left="2880" w:hanging="360"/>
      </w:pPr>
    </w:lvl>
    <w:lvl w:ilvl="4" w:tplc="03786F84" w:tentative="1">
      <w:start w:val="1"/>
      <w:numFmt w:val="lowerLetter"/>
      <w:lvlText w:val="%5."/>
      <w:lvlJc w:val="left"/>
      <w:pPr>
        <w:ind w:left="3600" w:hanging="360"/>
      </w:pPr>
    </w:lvl>
    <w:lvl w:ilvl="5" w:tplc="8BB87D72" w:tentative="1">
      <w:start w:val="1"/>
      <w:numFmt w:val="lowerRoman"/>
      <w:lvlText w:val="%6."/>
      <w:lvlJc w:val="right"/>
      <w:pPr>
        <w:ind w:left="4320" w:hanging="180"/>
      </w:pPr>
    </w:lvl>
    <w:lvl w:ilvl="6" w:tplc="01429F02" w:tentative="1">
      <w:start w:val="1"/>
      <w:numFmt w:val="decimal"/>
      <w:lvlText w:val="%7."/>
      <w:lvlJc w:val="left"/>
      <w:pPr>
        <w:ind w:left="5040" w:hanging="360"/>
      </w:pPr>
    </w:lvl>
    <w:lvl w:ilvl="7" w:tplc="9D182B42" w:tentative="1">
      <w:start w:val="1"/>
      <w:numFmt w:val="lowerLetter"/>
      <w:lvlText w:val="%8."/>
      <w:lvlJc w:val="left"/>
      <w:pPr>
        <w:ind w:left="5760" w:hanging="360"/>
      </w:pPr>
    </w:lvl>
    <w:lvl w:ilvl="8" w:tplc="08B45624" w:tentative="1">
      <w:start w:val="1"/>
      <w:numFmt w:val="lowerRoman"/>
      <w:lvlText w:val="%9."/>
      <w:lvlJc w:val="right"/>
      <w:pPr>
        <w:ind w:left="6480" w:hanging="180"/>
      </w:pPr>
    </w:lvl>
  </w:abstractNum>
  <w:abstractNum w:abstractNumId="2" w15:restartNumberingAfterBreak="0">
    <w:nsid w:val="34F01502"/>
    <w:multiLevelType w:val="hybridMultilevel"/>
    <w:tmpl w:val="16F651FE"/>
    <w:lvl w:ilvl="0" w:tplc="D2E42634">
      <w:start w:val="1"/>
      <w:numFmt w:val="lowerLetter"/>
      <w:lvlText w:val="%1)"/>
      <w:lvlJc w:val="left"/>
      <w:pPr>
        <w:ind w:left="720" w:hanging="360"/>
      </w:pPr>
    </w:lvl>
    <w:lvl w:ilvl="1" w:tplc="F01AAC6C" w:tentative="1">
      <w:start w:val="1"/>
      <w:numFmt w:val="lowerLetter"/>
      <w:lvlText w:val="%2."/>
      <w:lvlJc w:val="left"/>
      <w:pPr>
        <w:ind w:left="1440" w:hanging="360"/>
      </w:pPr>
    </w:lvl>
    <w:lvl w:ilvl="2" w:tplc="61185A42" w:tentative="1">
      <w:start w:val="1"/>
      <w:numFmt w:val="lowerRoman"/>
      <w:lvlText w:val="%3."/>
      <w:lvlJc w:val="right"/>
      <w:pPr>
        <w:ind w:left="2160" w:hanging="180"/>
      </w:pPr>
    </w:lvl>
    <w:lvl w:ilvl="3" w:tplc="2410EAA4" w:tentative="1">
      <w:start w:val="1"/>
      <w:numFmt w:val="decimal"/>
      <w:lvlText w:val="%4."/>
      <w:lvlJc w:val="left"/>
      <w:pPr>
        <w:ind w:left="2880" w:hanging="360"/>
      </w:pPr>
    </w:lvl>
    <w:lvl w:ilvl="4" w:tplc="35BCE066" w:tentative="1">
      <w:start w:val="1"/>
      <w:numFmt w:val="lowerLetter"/>
      <w:lvlText w:val="%5."/>
      <w:lvlJc w:val="left"/>
      <w:pPr>
        <w:ind w:left="3600" w:hanging="360"/>
      </w:pPr>
    </w:lvl>
    <w:lvl w:ilvl="5" w:tplc="6D6A1880" w:tentative="1">
      <w:start w:val="1"/>
      <w:numFmt w:val="lowerRoman"/>
      <w:lvlText w:val="%6."/>
      <w:lvlJc w:val="right"/>
      <w:pPr>
        <w:ind w:left="4320" w:hanging="180"/>
      </w:pPr>
    </w:lvl>
    <w:lvl w:ilvl="6" w:tplc="5810DA40" w:tentative="1">
      <w:start w:val="1"/>
      <w:numFmt w:val="decimal"/>
      <w:lvlText w:val="%7."/>
      <w:lvlJc w:val="left"/>
      <w:pPr>
        <w:ind w:left="5040" w:hanging="360"/>
      </w:pPr>
    </w:lvl>
    <w:lvl w:ilvl="7" w:tplc="542237B2" w:tentative="1">
      <w:start w:val="1"/>
      <w:numFmt w:val="lowerLetter"/>
      <w:lvlText w:val="%8."/>
      <w:lvlJc w:val="left"/>
      <w:pPr>
        <w:ind w:left="5760" w:hanging="360"/>
      </w:pPr>
    </w:lvl>
    <w:lvl w:ilvl="8" w:tplc="3A869E34" w:tentative="1">
      <w:start w:val="1"/>
      <w:numFmt w:val="lowerRoman"/>
      <w:lvlText w:val="%9."/>
      <w:lvlJc w:val="right"/>
      <w:pPr>
        <w:ind w:left="6480" w:hanging="180"/>
      </w:pPr>
    </w:lvl>
  </w:abstractNum>
  <w:abstractNum w:abstractNumId="3" w15:restartNumberingAfterBreak="0">
    <w:nsid w:val="4D132A26"/>
    <w:multiLevelType w:val="hybridMultilevel"/>
    <w:tmpl w:val="43569C5C"/>
    <w:lvl w:ilvl="0" w:tplc="5DC01736">
      <w:start w:val="1"/>
      <w:numFmt w:val="decimal"/>
      <w:lvlText w:val="%1)"/>
      <w:lvlJc w:val="left"/>
      <w:pPr>
        <w:ind w:left="720" w:hanging="360"/>
      </w:pPr>
    </w:lvl>
    <w:lvl w:ilvl="1" w:tplc="C29ED748" w:tentative="1">
      <w:start w:val="1"/>
      <w:numFmt w:val="lowerLetter"/>
      <w:lvlText w:val="%2."/>
      <w:lvlJc w:val="left"/>
      <w:pPr>
        <w:ind w:left="1440" w:hanging="360"/>
      </w:pPr>
    </w:lvl>
    <w:lvl w:ilvl="2" w:tplc="A72A97CC" w:tentative="1">
      <w:start w:val="1"/>
      <w:numFmt w:val="lowerRoman"/>
      <w:lvlText w:val="%3."/>
      <w:lvlJc w:val="right"/>
      <w:pPr>
        <w:ind w:left="2160" w:hanging="180"/>
      </w:pPr>
    </w:lvl>
    <w:lvl w:ilvl="3" w:tplc="1234C2DE" w:tentative="1">
      <w:start w:val="1"/>
      <w:numFmt w:val="decimal"/>
      <w:lvlText w:val="%4."/>
      <w:lvlJc w:val="left"/>
      <w:pPr>
        <w:ind w:left="2880" w:hanging="360"/>
      </w:pPr>
    </w:lvl>
    <w:lvl w:ilvl="4" w:tplc="55D4F7C4" w:tentative="1">
      <w:start w:val="1"/>
      <w:numFmt w:val="lowerLetter"/>
      <w:lvlText w:val="%5."/>
      <w:lvlJc w:val="left"/>
      <w:pPr>
        <w:ind w:left="3600" w:hanging="360"/>
      </w:pPr>
    </w:lvl>
    <w:lvl w:ilvl="5" w:tplc="CEBA5C8E" w:tentative="1">
      <w:start w:val="1"/>
      <w:numFmt w:val="lowerRoman"/>
      <w:lvlText w:val="%6."/>
      <w:lvlJc w:val="right"/>
      <w:pPr>
        <w:ind w:left="4320" w:hanging="180"/>
      </w:pPr>
    </w:lvl>
    <w:lvl w:ilvl="6" w:tplc="1B005946" w:tentative="1">
      <w:start w:val="1"/>
      <w:numFmt w:val="decimal"/>
      <w:lvlText w:val="%7."/>
      <w:lvlJc w:val="left"/>
      <w:pPr>
        <w:ind w:left="5040" w:hanging="360"/>
      </w:pPr>
    </w:lvl>
    <w:lvl w:ilvl="7" w:tplc="244CC9AE" w:tentative="1">
      <w:start w:val="1"/>
      <w:numFmt w:val="lowerLetter"/>
      <w:lvlText w:val="%8."/>
      <w:lvlJc w:val="left"/>
      <w:pPr>
        <w:ind w:left="5760" w:hanging="360"/>
      </w:pPr>
    </w:lvl>
    <w:lvl w:ilvl="8" w:tplc="CE8453D4"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FB"/>
    <w:rsid w:val="002460FB"/>
    <w:rsid w:val="0039070E"/>
    <w:rsid w:val="00457D56"/>
    <w:rsid w:val="00570B37"/>
    <w:rsid w:val="005D3DE6"/>
    <w:rsid w:val="006250A4"/>
    <w:rsid w:val="006E53FE"/>
    <w:rsid w:val="007854E8"/>
    <w:rsid w:val="00926702"/>
    <w:rsid w:val="00A17CF8"/>
    <w:rsid w:val="00B0412E"/>
    <w:rsid w:val="00C637C0"/>
    <w:rsid w:val="00CC3992"/>
    <w:rsid w:val="00DA7DEE"/>
    <w:rsid w:val="00E03C4B"/>
    <w:rsid w:val="00EB770D"/>
    <w:rsid w:val="00FD6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91117-CE84-4226-A5A3-0E9D8661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460FB"/>
    <w:pPr>
      <w:widowControl w:val="0"/>
      <w:autoSpaceDE w:val="0"/>
      <w:autoSpaceDN w:val="0"/>
      <w:spacing w:after="0" w:line="240" w:lineRule="auto"/>
    </w:pPr>
    <w:rPr>
      <w:rFonts w:ascii="Arial" w:eastAsia="Arial" w:hAnsi="Arial" w:cs="Arial"/>
    </w:rPr>
  </w:style>
  <w:style w:type="paragraph" w:styleId="Nagwek1">
    <w:name w:val="heading 1"/>
    <w:basedOn w:val="Normalny"/>
    <w:next w:val="Normalny"/>
    <w:link w:val="Nagwek1Znak"/>
    <w:uiPriority w:val="9"/>
    <w:qFormat/>
    <w:rsid w:val="007854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854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pPr>
    <w:rPr>
      <w:rFonts w:ascii="Calibri" w:eastAsia="Times New Roman" w:hAnsi="Calibri" w:cs="Times New Roman"/>
      <w:b/>
      <w:bCs/>
      <w:caps/>
      <w:sz w:val="20"/>
      <w:szCs w:val="24"/>
      <w:lang w:eastAsia="pl-PL"/>
    </w:rPr>
  </w:style>
  <w:style w:type="character" w:customStyle="1" w:styleId="Nagwek1Znak">
    <w:name w:val="Nagłówek 1 Znak"/>
    <w:basedOn w:val="Domylnaczcionkaakapitu"/>
    <w:link w:val="Nagwek1"/>
    <w:uiPriority w:val="9"/>
    <w:rsid w:val="007854E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7854E8"/>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uiPriority w:val="1"/>
    <w:qFormat/>
    <w:rsid w:val="002460FB"/>
    <w:rPr>
      <w:sz w:val="24"/>
      <w:szCs w:val="24"/>
    </w:rPr>
  </w:style>
  <w:style w:type="character" w:customStyle="1" w:styleId="TekstpodstawowyZnak">
    <w:name w:val="Tekst podstawowy Znak"/>
    <w:basedOn w:val="Domylnaczcionkaakapitu"/>
    <w:link w:val="Tekstpodstawowy"/>
    <w:uiPriority w:val="1"/>
    <w:rsid w:val="002460FB"/>
    <w:rPr>
      <w:rFonts w:ascii="Arial" w:eastAsia="Arial" w:hAnsi="Arial" w:cs="Arial"/>
      <w:sz w:val="24"/>
      <w:szCs w:val="24"/>
    </w:rPr>
  </w:style>
  <w:style w:type="paragraph" w:styleId="Akapitzlist">
    <w:name w:val="List Paragraph"/>
    <w:basedOn w:val="Normalny"/>
    <w:uiPriority w:val="1"/>
    <w:qFormat/>
    <w:rsid w:val="002460FB"/>
    <w:pPr>
      <w:ind w:left="396" w:hanging="284"/>
    </w:pPr>
  </w:style>
  <w:style w:type="paragraph" w:styleId="Tytu">
    <w:name w:val="Title"/>
    <w:basedOn w:val="Normalny"/>
    <w:next w:val="Normalny"/>
    <w:link w:val="TytuZnak"/>
    <w:uiPriority w:val="10"/>
    <w:qFormat/>
    <w:rsid w:val="002460FB"/>
    <w:pPr>
      <w:widowControl/>
      <w:autoSpaceDE/>
      <w:autoSpaceDN/>
      <w:spacing w:line="312" w:lineRule="auto"/>
    </w:pPr>
    <w:rPr>
      <w:rFonts w:asciiTheme="minorHAnsi" w:eastAsia="Times New Roman" w:hAnsiTheme="minorHAnsi" w:cstheme="minorHAnsi"/>
      <w:b/>
      <w:sz w:val="24"/>
      <w:szCs w:val="24"/>
      <w:lang w:eastAsia="pl-PL"/>
    </w:rPr>
  </w:style>
  <w:style w:type="character" w:customStyle="1" w:styleId="TytuZnak">
    <w:name w:val="Tytuł Znak"/>
    <w:basedOn w:val="Domylnaczcionkaakapitu"/>
    <w:link w:val="Tytu"/>
    <w:uiPriority w:val="10"/>
    <w:rsid w:val="002460FB"/>
    <w:rPr>
      <w:rFonts w:eastAsia="Times New Roman" w:cstheme="minorHAnsi"/>
      <w:b/>
      <w:sz w:val="24"/>
      <w:szCs w:val="24"/>
      <w:lang w:eastAsia="pl-PL"/>
    </w:rPr>
  </w:style>
  <w:style w:type="paragraph" w:styleId="Tekstdymka">
    <w:name w:val="Balloon Text"/>
    <w:basedOn w:val="Normalny"/>
    <w:link w:val="TekstdymkaZnak"/>
    <w:uiPriority w:val="99"/>
    <w:semiHidden/>
    <w:unhideWhenUsed/>
    <w:rsid w:val="00390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70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Zarządzenie Rektora nr 90/2021 w sprawie obowiązku stosowania zapisów ustawy o zapewnianiu dostępności osobom ze szczególnymi potrzebami w umowach zawieranych przez</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90.2021 on the obligation to apply the provisions in agreements concluded by the MUB</dc:title>
  <dc:creator>Emilia Snarska</dc:creator>
  <cp:lastModifiedBy>Emilia Snarska</cp:lastModifiedBy>
  <cp:revision>3</cp:revision>
  <cp:lastPrinted>2021-09-02T08:37:00Z</cp:lastPrinted>
  <dcterms:created xsi:type="dcterms:W3CDTF">2021-09-06T07:32:00Z</dcterms:created>
  <dcterms:modified xsi:type="dcterms:W3CDTF">2021-09-06T07:32:00Z</dcterms:modified>
</cp:coreProperties>
</file>