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3C" w:rsidRPr="00A22E81" w:rsidRDefault="003C2C3C" w:rsidP="003C2C3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22E81">
        <w:rPr>
          <w:b/>
          <w:bCs/>
        </w:rPr>
        <w:t>Uchwała nr</w:t>
      </w:r>
      <w:r w:rsidR="00F66994">
        <w:rPr>
          <w:b/>
          <w:bCs/>
        </w:rPr>
        <w:t xml:space="preserve"> 36/</w:t>
      </w:r>
      <w:r w:rsidR="0097594C">
        <w:rPr>
          <w:b/>
          <w:bCs/>
        </w:rPr>
        <w:t>2</w:t>
      </w:r>
      <w:bookmarkStart w:id="0" w:name="_GoBack"/>
      <w:bookmarkEnd w:id="0"/>
      <w:r w:rsidR="00F66994">
        <w:rPr>
          <w:b/>
          <w:bCs/>
        </w:rPr>
        <w:t>016</w:t>
      </w:r>
    </w:p>
    <w:p w:rsidR="003C2C3C" w:rsidRPr="00A22E81" w:rsidRDefault="003C2C3C" w:rsidP="003C2C3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22E81">
        <w:rPr>
          <w:b/>
          <w:bCs/>
        </w:rPr>
        <w:t xml:space="preserve"> Senatu Uniwersytetu Medycznego w Białymstoku</w:t>
      </w:r>
      <w:r w:rsidRPr="00A22E81">
        <w:rPr>
          <w:b/>
          <w:bCs/>
        </w:rPr>
        <w:br/>
        <w:t xml:space="preserve">z dnia </w:t>
      </w:r>
      <w:r w:rsidR="00F66994">
        <w:rPr>
          <w:b/>
          <w:bCs/>
        </w:rPr>
        <w:t>29.04.2016</w:t>
      </w:r>
    </w:p>
    <w:p w:rsidR="00F66994" w:rsidRDefault="003C2C3C" w:rsidP="003C2C3C">
      <w:pPr>
        <w:spacing w:after="240"/>
        <w:jc w:val="center"/>
      </w:pPr>
      <w:r w:rsidRPr="00A22E81">
        <w:br/>
      </w:r>
      <w:r w:rsidRPr="00A22E81">
        <w:rPr>
          <w:b/>
          <w:bCs/>
        </w:rPr>
        <w:t>w sprawie wprowadzenia zmian do Statutu Uniwersytetu Medycznego w Białymstoku</w:t>
      </w:r>
      <w:r w:rsidRPr="00A22E81">
        <w:br/>
      </w:r>
      <w:r w:rsidRPr="00A22E81">
        <w:br/>
        <w:t>Na podstawie art. 56 ust. 1 i 59 ustawy z dnia 27 lipca 2005 r. Prawo o szkolnictwie wyższym (</w:t>
      </w:r>
      <w:proofErr w:type="spellStart"/>
      <w:r w:rsidRPr="00A22E81">
        <w:t>t.j</w:t>
      </w:r>
      <w:proofErr w:type="spellEnd"/>
      <w:r w:rsidRPr="00A22E81">
        <w:t>. Dz. U. z 2012, poz. 572 z późn. zm.) uchwala się, co następuje:</w:t>
      </w:r>
      <w:r w:rsidRPr="00A22E81">
        <w:br/>
      </w:r>
    </w:p>
    <w:p w:rsidR="003C2C3C" w:rsidRPr="00F66994" w:rsidRDefault="003C2C3C" w:rsidP="003C2C3C">
      <w:pPr>
        <w:spacing w:after="240"/>
        <w:jc w:val="center"/>
      </w:pPr>
      <w:r w:rsidRPr="00F66994">
        <w:t>§1.</w:t>
      </w:r>
    </w:p>
    <w:p w:rsidR="003C2C3C" w:rsidRPr="00F66994" w:rsidRDefault="003C2C3C" w:rsidP="003C2C3C">
      <w:pPr>
        <w:jc w:val="both"/>
      </w:pPr>
      <w:r w:rsidRPr="00F66994">
        <w:t>Wprowadza się następujące zmiany do Statutu Uniwersytetu Medycznego  w Białymstoku:</w:t>
      </w:r>
    </w:p>
    <w:p w:rsidR="003C2C3C" w:rsidRPr="00F66994" w:rsidRDefault="003C2C3C" w:rsidP="003C2C3C">
      <w:pPr>
        <w:jc w:val="both"/>
      </w:pPr>
      <w:r w:rsidRPr="00F66994">
        <w:t xml:space="preserve"> - w § 18 dodaje się ust. 8 o treści: </w:t>
      </w:r>
    </w:p>
    <w:p w:rsidR="003C2C3C" w:rsidRPr="00F66994" w:rsidRDefault="003C2C3C" w:rsidP="003C2C3C">
      <w:pPr>
        <w:jc w:val="both"/>
      </w:pPr>
      <w:r w:rsidRPr="00F66994">
        <w:t>„W przypadku podjęcia przez pracownika działań konkurencyjnych w stosunku do Uczelni, Rektor może cofnąć wcześniej wydaną zgodę na podjęcie lub kontynuację dodatkowego zatrudnienia lub odwołać pracownika z funkcji kierownika.”</w:t>
      </w:r>
    </w:p>
    <w:p w:rsidR="003C2C3C" w:rsidRPr="00F66994" w:rsidRDefault="003C2C3C" w:rsidP="003C2C3C">
      <w:pPr>
        <w:jc w:val="both"/>
        <w:rPr>
          <w:strike/>
        </w:rPr>
      </w:pPr>
    </w:p>
    <w:p w:rsidR="003C2C3C" w:rsidRPr="00F66994" w:rsidRDefault="003C2C3C" w:rsidP="003C2C3C">
      <w:pPr>
        <w:jc w:val="both"/>
      </w:pPr>
      <w:r w:rsidRPr="00F66994">
        <w:t xml:space="preserve">-  w § 79 otrzymuje brzmienie: </w:t>
      </w:r>
    </w:p>
    <w:p w:rsidR="003C2C3C" w:rsidRPr="00F66994" w:rsidRDefault="003C2C3C" w:rsidP="003C2C3C">
      <w:pPr>
        <w:jc w:val="both"/>
      </w:pPr>
      <w:r w:rsidRPr="00F66994">
        <w:t xml:space="preserve">„ 1. Stosunek pracy z mianowanym nauczycielem akademickim może być rozwiązany w trybie art. 125 ustawy Prawo o szkolnictwie wyższym decyzją Rektora, po uzyskaniu opinii Senatu. </w:t>
      </w:r>
    </w:p>
    <w:p w:rsidR="003C2C3C" w:rsidRPr="00F66994" w:rsidRDefault="003C2C3C" w:rsidP="003C2C3C">
      <w:pPr>
        <w:jc w:val="both"/>
      </w:pPr>
      <w:r w:rsidRPr="00F66994">
        <w:t>2.  Za ważną przyczynę może być uznane podejmowanie działalności konkurencyjnej, w tym m.in. :</w:t>
      </w:r>
    </w:p>
    <w:p w:rsidR="003C2C3C" w:rsidRPr="00F66994" w:rsidRDefault="003C2C3C" w:rsidP="003C2C3C">
      <w:pPr>
        <w:pStyle w:val="Akapitzlist"/>
        <w:numPr>
          <w:ilvl w:val="0"/>
          <w:numId w:val="1"/>
        </w:numPr>
        <w:jc w:val="both"/>
      </w:pPr>
      <w:r w:rsidRPr="00F66994">
        <w:t>uczestniczenie w organizacji kierunku studiów lub prowadzeniu zajęć w innej uczelni bądź instytucie na kierunku studiów podobnym programowo do kierunku  prowadzonego przez Uczelnię,</w:t>
      </w:r>
    </w:p>
    <w:p w:rsidR="003C2C3C" w:rsidRPr="00F66994" w:rsidRDefault="003C2C3C" w:rsidP="003C2C3C">
      <w:pPr>
        <w:pStyle w:val="Akapitzlist"/>
        <w:numPr>
          <w:ilvl w:val="0"/>
          <w:numId w:val="1"/>
        </w:numPr>
        <w:jc w:val="both"/>
      </w:pPr>
      <w:r w:rsidRPr="00F66994">
        <w:lastRenderedPageBreak/>
        <w:t xml:space="preserve">afiliowanie </w:t>
      </w:r>
      <w:r w:rsidR="004539A7" w:rsidRPr="00F66994">
        <w:t xml:space="preserve">innych uczelni wyższych </w:t>
      </w:r>
      <w:r w:rsidRPr="00F66994">
        <w:t>w publikacjach pracowników Uczelni, w których zatrudniony jest pracownik Uczelni, a prowadzących kierunek studiów podobny programowo do kierunku  prowadzonego przez Uczelnię,</w:t>
      </w:r>
    </w:p>
    <w:p w:rsidR="003C2C3C" w:rsidRPr="00F66994" w:rsidRDefault="003C2C3C" w:rsidP="003C2C3C">
      <w:pPr>
        <w:pStyle w:val="Akapitzlist"/>
        <w:numPr>
          <w:ilvl w:val="0"/>
          <w:numId w:val="1"/>
        </w:numPr>
        <w:jc w:val="both"/>
      </w:pPr>
      <w:r w:rsidRPr="00F66994">
        <w:t xml:space="preserve">pozyskiwanie lub udział w grantach naukowych, badawczo-rozwojowych lub projektach inwestycyjnych prowadzonych przez inne uczelnie, jednostki naukowe/badawczo-rozwojowe bez uwzględnienia udziału </w:t>
      </w:r>
      <w:r w:rsidRPr="00F66994">
        <w:rPr>
          <w:bCs/>
        </w:rPr>
        <w:t>Uniwersytetu Medycznego w Białymstoku</w:t>
      </w:r>
      <w:r w:rsidRPr="00F66994">
        <w:t xml:space="preserve"> lub Uniwersyteckiego Szpitala Klinicznego w Białymstoku</w:t>
      </w:r>
      <w:r w:rsidR="006A072B" w:rsidRPr="00F66994">
        <w:t>,</w:t>
      </w:r>
      <w:r w:rsidR="00437498" w:rsidRPr="00F66994">
        <w:t xml:space="preserve"> </w:t>
      </w:r>
      <w:r w:rsidRPr="00F66994">
        <w:rPr>
          <w:strike/>
        </w:rPr>
        <w:t xml:space="preserve"> </w:t>
      </w:r>
      <w:r w:rsidRPr="00F66994">
        <w:t xml:space="preserve">Uniwersyteckiego Dziecięcego Szpitala Klinicznego w Białymstoku </w:t>
      </w:r>
      <w:r w:rsidR="004539A7" w:rsidRPr="00F66994">
        <w:t>lub</w:t>
      </w:r>
      <w:r w:rsidRPr="00F66994">
        <w:t xml:space="preserve"> Specjalistycznej Lecznicy Stomatologicznej Uniwersytetu Medycznego w Białymstoku spółka z o.o. </w:t>
      </w:r>
    </w:p>
    <w:p w:rsidR="003C2C3C" w:rsidRPr="00F66994" w:rsidRDefault="003C2C3C" w:rsidP="003C2C3C">
      <w:pPr>
        <w:pStyle w:val="Akapitzlist"/>
        <w:numPr>
          <w:ilvl w:val="0"/>
          <w:numId w:val="1"/>
        </w:numPr>
        <w:jc w:val="both"/>
      </w:pPr>
      <w:r w:rsidRPr="00F66994">
        <w:t xml:space="preserve">udział w patentach, badaniach naukowych, publikacjach naukowych prowadzonych przez inne uczelnie lub jednostki naukowe/badawczo-rozwojowe bez uwzględnienia udziału </w:t>
      </w:r>
      <w:r w:rsidRPr="00F66994">
        <w:rPr>
          <w:bCs/>
        </w:rPr>
        <w:t>Uniwersytetu Medycznego w Białymstoku</w:t>
      </w:r>
      <w:r w:rsidRPr="00F66994">
        <w:t xml:space="preserve"> lub Uniwersyteckiego Szpitala Klinicznego w Białymstoku</w:t>
      </w:r>
      <w:r w:rsidR="00437498" w:rsidRPr="00F66994">
        <w:t>,</w:t>
      </w:r>
      <w:r w:rsidRPr="00F66994">
        <w:t xml:space="preserve"> Uniwersyteckiego Dziecięcego Szpitala Klinicznego w Białymstoku </w:t>
      </w:r>
      <w:r w:rsidR="004539A7" w:rsidRPr="00F66994">
        <w:t>lub</w:t>
      </w:r>
      <w:r w:rsidRPr="00F66994">
        <w:t xml:space="preserve"> Specjalistycznej Lecznicy Stomatologicznej Uniwersytetu Medycznego w Białymstoku spółka z o.o. </w:t>
      </w:r>
    </w:p>
    <w:p w:rsidR="003C2C3C" w:rsidRPr="00F66994" w:rsidRDefault="003C2C3C" w:rsidP="003C2C3C">
      <w:pPr>
        <w:ind w:left="360"/>
        <w:jc w:val="both"/>
      </w:pPr>
    </w:p>
    <w:p w:rsidR="003C2C3C" w:rsidRPr="00F66994" w:rsidRDefault="003C2C3C" w:rsidP="003C2C3C">
      <w:pPr>
        <w:jc w:val="both"/>
      </w:pPr>
      <w:r w:rsidRPr="00F66994">
        <w:t>3. Okoliczności wskazane w ust. 2 mogą stanowić również przyczynę rozwiązania stosunku pracy z pracownikiem zatrudnionym na podstawie umowy o pracę lub z osobą zatrudnioną na podstawie umowy cywilnoprawnej.”</w:t>
      </w:r>
    </w:p>
    <w:p w:rsidR="003C2C3C" w:rsidRPr="00F66994" w:rsidRDefault="003C2C3C" w:rsidP="003C2C3C">
      <w:pPr>
        <w:jc w:val="center"/>
      </w:pPr>
      <w:r w:rsidRPr="00F66994">
        <w:t>§ 2.</w:t>
      </w:r>
    </w:p>
    <w:p w:rsidR="003C2C3C" w:rsidRPr="00F66994" w:rsidRDefault="003C2C3C" w:rsidP="003C2C3C">
      <w:pPr>
        <w:jc w:val="both"/>
      </w:pPr>
      <w:r w:rsidRPr="00F66994">
        <w:t>Uchwała wchodzi w życie z dniem podjęcia</w:t>
      </w:r>
    </w:p>
    <w:p w:rsidR="003C2C3C" w:rsidRPr="00F66994" w:rsidRDefault="003C2C3C" w:rsidP="003C2C3C">
      <w:pPr>
        <w:jc w:val="both"/>
      </w:pPr>
    </w:p>
    <w:p w:rsidR="003C2C3C" w:rsidRPr="00F66994" w:rsidRDefault="003C2C3C" w:rsidP="003C2C3C">
      <w:pPr>
        <w:tabs>
          <w:tab w:val="left" w:pos="5245"/>
        </w:tabs>
        <w:ind w:left="5245"/>
        <w:jc w:val="center"/>
      </w:pPr>
      <w:r w:rsidRPr="00F66994">
        <w:t>Przewodniczący Senatu</w:t>
      </w:r>
    </w:p>
    <w:p w:rsidR="003C2C3C" w:rsidRPr="00F66994" w:rsidRDefault="003C2C3C" w:rsidP="003C2C3C">
      <w:pPr>
        <w:tabs>
          <w:tab w:val="left" w:pos="5245"/>
        </w:tabs>
        <w:ind w:left="5245"/>
        <w:jc w:val="center"/>
      </w:pPr>
      <w:r w:rsidRPr="00F66994">
        <w:t>Rektor</w:t>
      </w:r>
    </w:p>
    <w:p w:rsidR="003C2C3C" w:rsidRPr="00F66994" w:rsidRDefault="003C2C3C" w:rsidP="003C2C3C">
      <w:pPr>
        <w:tabs>
          <w:tab w:val="left" w:pos="5245"/>
        </w:tabs>
        <w:ind w:left="5245"/>
        <w:jc w:val="center"/>
      </w:pPr>
    </w:p>
    <w:p w:rsidR="003C2C3C" w:rsidRPr="00F66994" w:rsidRDefault="003C2C3C" w:rsidP="003C2C3C">
      <w:pPr>
        <w:tabs>
          <w:tab w:val="left" w:pos="5245"/>
        </w:tabs>
        <w:ind w:left="5245"/>
        <w:jc w:val="center"/>
      </w:pPr>
      <w:r w:rsidRPr="00F66994">
        <w:t xml:space="preserve">Prof. dr hab. Jacek </w:t>
      </w:r>
      <w:proofErr w:type="spellStart"/>
      <w:r w:rsidRPr="00F66994">
        <w:t>Nikliński</w:t>
      </w:r>
      <w:proofErr w:type="spellEnd"/>
    </w:p>
    <w:p w:rsidR="003C2C3C" w:rsidRPr="00F66994" w:rsidRDefault="003C2C3C" w:rsidP="003C2C3C">
      <w:pPr>
        <w:tabs>
          <w:tab w:val="left" w:pos="5245"/>
        </w:tabs>
        <w:ind w:left="5245"/>
        <w:jc w:val="center"/>
      </w:pPr>
    </w:p>
    <w:p w:rsidR="00386BBE" w:rsidRPr="00F66994" w:rsidRDefault="00386BBE"/>
    <w:sectPr w:rsidR="00386BBE" w:rsidRPr="00F66994" w:rsidSect="0000795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CD6"/>
    <w:multiLevelType w:val="hybridMultilevel"/>
    <w:tmpl w:val="8BE0A492"/>
    <w:lvl w:ilvl="0" w:tplc="16844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3C"/>
    <w:rsid w:val="00386BBE"/>
    <w:rsid w:val="003C2C3C"/>
    <w:rsid w:val="00437498"/>
    <w:rsid w:val="004539A7"/>
    <w:rsid w:val="004F76C7"/>
    <w:rsid w:val="006A072B"/>
    <w:rsid w:val="0097594C"/>
    <w:rsid w:val="00CF72C1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7831-BDA3-49E6-87F4-F91F91B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</cp:revision>
  <cp:lastPrinted>2016-05-04T10:28:00Z</cp:lastPrinted>
  <dcterms:created xsi:type="dcterms:W3CDTF">2016-05-04T10:27:00Z</dcterms:created>
  <dcterms:modified xsi:type="dcterms:W3CDTF">2016-05-04T10:29:00Z</dcterms:modified>
</cp:coreProperties>
</file>