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96C3F" w14:textId="57B2F83B" w:rsidR="002C4DDE" w:rsidRPr="00EC0390" w:rsidRDefault="00907368" w:rsidP="00EC0390">
      <w:pPr>
        <w:spacing w:line="360" w:lineRule="auto"/>
        <w:rPr>
          <w:rStyle w:val="markedcontent"/>
          <w:rFonts w:ascii="Calibri" w:hAnsi="Calibri" w:cs="Calibri"/>
          <w:b/>
          <w:sz w:val="24"/>
          <w:szCs w:val="24"/>
        </w:rPr>
      </w:pPr>
      <w:r>
        <w:rPr>
          <w:rStyle w:val="markedcontent"/>
          <w:rFonts w:ascii="Calibri" w:hAnsi="Calibri" w:cs="Calibri"/>
          <w:b/>
          <w:sz w:val="24"/>
          <w:szCs w:val="24"/>
          <w:lang w:val="en-GB"/>
        </w:rPr>
        <w:t>Resolution No 66/2022</w:t>
      </w:r>
      <w:r>
        <w:rPr>
          <w:rStyle w:val="markedcontent"/>
          <w:rFonts w:ascii="Calibri" w:hAnsi="Calibri" w:cs="Calibri"/>
          <w:b/>
          <w:sz w:val="24"/>
          <w:szCs w:val="24"/>
          <w:lang w:val="en-GB"/>
        </w:rPr>
        <w:br/>
        <w:t xml:space="preserve"> of the Senate of the Medical University in Bialystok</w:t>
      </w:r>
      <w:r>
        <w:rPr>
          <w:rStyle w:val="markedcontent"/>
          <w:rFonts w:ascii="Calibri" w:hAnsi="Calibri" w:cs="Calibri"/>
          <w:b/>
          <w:sz w:val="24"/>
          <w:szCs w:val="24"/>
          <w:lang w:val="en-GB"/>
        </w:rPr>
        <w:br/>
        <w:t>of 21.03.2022</w:t>
      </w:r>
      <w:r>
        <w:rPr>
          <w:rStyle w:val="markedcontent"/>
          <w:rFonts w:ascii="Calibri" w:hAnsi="Calibri" w:cs="Calibri"/>
          <w:b/>
          <w:sz w:val="24"/>
          <w:szCs w:val="24"/>
          <w:lang w:val="en-GB"/>
        </w:rPr>
        <w:br/>
        <w:t>on the amendment to the Regulations of First-cycle, Second-cycle and Unified Master's Degree Studies at the Medical University of Bialystok</w:t>
      </w:r>
    </w:p>
    <w:p w14:paraId="75DA6FF2" w14:textId="0F9CBF23" w:rsidR="002C54F0" w:rsidRPr="00EC0390" w:rsidRDefault="00907368" w:rsidP="00EC0390">
      <w:pPr>
        <w:rPr>
          <w:rStyle w:val="markedcontent"/>
          <w:rFonts w:ascii="Calibri" w:hAnsi="Calibri" w:cs="Calibri"/>
          <w:b/>
          <w:sz w:val="24"/>
          <w:szCs w:val="24"/>
        </w:rPr>
      </w:pPr>
      <w:r w:rsidRPr="00EC0390">
        <w:rPr>
          <w:rStyle w:val="markedcontent"/>
          <w:rFonts w:ascii="Calibri" w:hAnsi="Calibri" w:cs="Calibri"/>
          <w:sz w:val="24"/>
          <w:szCs w:val="24"/>
          <w:lang w:val="en-GB"/>
        </w:rPr>
        <w:t xml:space="preserve">Based on Article.  28 sec.  1 point  2 of the Act of July 20, 2018  Law on Higher Education and Science (i.e.  Journal  Of Laws of 2022, item  574) in connection  with Articles.  41, 45 and 96 sec.  2 of the Act of </w:t>
      </w:r>
      <w:r w:rsidR="002C4DDE" w:rsidRPr="00EC0390">
        <w:rPr>
          <w:lang w:val="en-GB"/>
        </w:rPr>
        <w:t xml:space="preserve">March 12, 2022  on assistance to the citizens of Ukraine in connection with the armed conflict on the territory of this state (Journal  Of Laws, item  583), </w:t>
      </w:r>
      <w:r w:rsidRPr="00EC0390">
        <w:rPr>
          <w:rStyle w:val="markedcontent"/>
          <w:rFonts w:ascii="Calibri" w:hAnsi="Calibri" w:cs="Calibri"/>
          <w:sz w:val="24"/>
          <w:szCs w:val="24"/>
          <w:lang w:val="en-GB"/>
        </w:rPr>
        <w:t>it is resolved as follows:</w:t>
      </w:r>
    </w:p>
    <w:p w14:paraId="0770305C" w14:textId="77777777" w:rsidR="00EC0390" w:rsidRPr="000158BF" w:rsidRDefault="00907368" w:rsidP="000158BF">
      <w:pPr>
        <w:pStyle w:val="Nagwek1"/>
        <w:rPr>
          <w:rStyle w:val="markedcontent"/>
        </w:rPr>
      </w:pPr>
      <w:r w:rsidRPr="000158BF">
        <w:rPr>
          <w:rStyle w:val="markedcontent"/>
          <w:lang w:val="en-GB"/>
        </w:rPr>
        <w:t>§ 1</w:t>
      </w:r>
    </w:p>
    <w:p w14:paraId="5805868F" w14:textId="271E59B2" w:rsidR="009F069A" w:rsidRPr="00EC0390" w:rsidRDefault="00907368" w:rsidP="00EC0390">
      <w:pPr>
        <w:rPr>
          <w:rStyle w:val="markedcontent"/>
          <w:rFonts w:ascii="Calibri" w:hAnsi="Calibri" w:cs="Calibri"/>
          <w:b/>
          <w:sz w:val="24"/>
          <w:szCs w:val="24"/>
        </w:rPr>
      </w:pPr>
      <w:r w:rsidRPr="00EC0390">
        <w:rPr>
          <w:rStyle w:val="markedcontent"/>
          <w:rFonts w:ascii="Calibri" w:hAnsi="Calibri" w:cs="Calibri"/>
          <w:sz w:val="24"/>
          <w:szCs w:val="24"/>
          <w:lang w:val="en-GB"/>
        </w:rPr>
        <w:t>In the Regulations of First-cycle, Second-cycle and Unified Master's Degree Studies at the Medical University</w:t>
      </w:r>
      <w:r w:rsidRPr="00EC0390">
        <w:rPr>
          <w:rStyle w:val="markedcontent"/>
          <w:rFonts w:ascii="Calibri" w:hAnsi="Calibri" w:cs="Calibri"/>
          <w:sz w:val="24"/>
          <w:szCs w:val="24"/>
          <w:lang w:val="en-GB"/>
        </w:rPr>
        <w:t xml:space="preserve"> of Białystok, attached to Resolution No. 70/2021 of the Senate of the Medical University of Białystok of April 29, 2021, after § 11 is added</w:t>
      </w:r>
      <w:r w:rsidRPr="00EC0390">
        <w:rPr>
          <w:rStyle w:val="markedcontent"/>
          <w:rFonts w:ascii="Calibri" w:hAnsi="Calibri" w:cs="Calibri"/>
          <w:sz w:val="24"/>
          <w:szCs w:val="24"/>
          <w:lang w:val="en-GB"/>
        </w:rPr>
        <w:br/>
        <w:t xml:space="preserve">§ 11a with the following wording: </w:t>
      </w:r>
    </w:p>
    <w:p w14:paraId="6707F3B0" w14:textId="77777777" w:rsidR="002C54F0" w:rsidRPr="00EC0390" w:rsidRDefault="00907368" w:rsidP="00EC0390">
      <w:pPr>
        <w:rPr>
          <w:rStyle w:val="markedcontent"/>
          <w:rFonts w:ascii="Calibri" w:hAnsi="Calibri" w:cs="Calibri"/>
          <w:b/>
          <w:sz w:val="24"/>
          <w:szCs w:val="24"/>
        </w:rPr>
      </w:pPr>
      <w:r w:rsidRPr="00EC0390">
        <w:rPr>
          <w:rStyle w:val="markedcontent"/>
          <w:rFonts w:ascii="Calibri" w:hAnsi="Calibri" w:cs="Calibri"/>
          <w:sz w:val="24"/>
          <w:szCs w:val="24"/>
          <w:lang w:val="en-GB"/>
        </w:rPr>
        <w:t>'§ 11a</w:t>
      </w:r>
    </w:p>
    <w:p w14:paraId="371C9BAD" w14:textId="6F1155BA" w:rsidR="00BD43D6"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 xml:space="preserve"> In the academic year 2021/2022, a citizen of Poland or a citizen of Ukr</w:t>
      </w:r>
      <w:r w:rsidRPr="00EC0390">
        <w:rPr>
          <w:rFonts w:ascii="Calibri" w:eastAsia="Times New Roman" w:hAnsi="Calibri" w:cs="Calibri"/>
          <w:sz w:val="24"/>
          <w:szCs w:val="24"/>
          <w:lang w:val="en-GB" w:eastAsia="pl-PL"/>
        </w:rPr>
        <w:t>aine whose stay in the territory of the Republic of Poland is recognized as legal on the basis of Article 2 sec.  1 of the Act of 12 March 2022 on assistance to the citizens of Ukraine in connection with the armed conflict on the territory of this state (J</w:t>
      </w:r>
      <w:r w:rsidRPr="00EC0390">
        <w:rPr>
          <w:rFonts w:ascii="Calibri" w:eastAsia="Times New Roman" w:hAnsi="Calibri" w:cs="Calibri"/>
          <w:sz w:val="24"/>
          <w:szCs w:val="24"/>
          <w:lang w:val="en-GB" w:eastAsia="pl-PL"/>
        </w:rPr>
        <w:t>ournal  Of Laws, item  583</w:t>
      </w:r>
      <w:r w:rsidRPr="00EC0390">
        <w:rPr>
          <w:rFonts w:ascii="Calibri" w:hAnsi="Calibri" w:cs="Calibri"/>
          <w:b/>
          <w:sz w:val="24"/>
          <w:szCs w:val="24"/>
          <w:lang w:val="en-GB"/>
        </w:rPr>
        <w:t>)</w:t>
      </w:r>
      <w:r w:rsidRPr="00EC0390">
        <w:rPr>
          <w:rFonts w:ascii="Calibri" w:eastAsia="Times New Roman" w:hAnsi="Calibri" w:cs="Calibri"/>
          <w:sz w:val="24"/>
          <w:szCs w:val="24"/>
          <w:lang w:val="en-GB" w:eastAsia="pl-PL"/>
        </w:rPr>
        <w:t>, who on 24 February 2022 was a student of a university operating in the territory of Ukraine and who declares that on that day he/she studied at a specific year of study in a given field</w:t>
      </w:r>
      <w:r w:rsidRPr="00EC0390">
        <w:rPr>
          <w:rFonts w:ascii="Calibri" w:eastAsia="Times New Roman" w:hAnsi="Calibri" w:cs="Calibri"/>
          <w:sz w:val="24"/>
          <w:szCs w:val="24"/>
          <w:lang w:val="en-GB" w:eastAsia="pl-PL"/>
        </w:rPr>
        <w:br/>
        <w:t>and the level of studies at the universit</w:t>
      </w:r>
      <w:r w:rsidRPr="00EC0390">
        <w:rPr>
          <w:rFonts w:ascii="Calibri" w:eastAsia="Times New Roman" w:hAnsi="Calibri" w:cs="Calibri"/>
          <w:sz w:val="24"/>
          <w:szCs w:val="24"/>
          <w:lang w:val="en-GB" w:eastAsia="pl-PL"/>
        </w:rPr>
        <w:t>y operating on the territory of Ukraine, may apply</w:t>
      </w:r>
      <w:r w:rsidRPr="00EC0390">
        <w:rPr>
          <w:rFonts w:ascii="Calibri" w:eastAsia="Times New Roman" w:hAnsi="Calibri" w:cs="Calibri"/>
          <w:sz w:val="24"/>
          <w:szCs w:val="24"/>
          <w:lang w:val="en-GB" w:eastAsia="pl-PL"/>
        </w:rPr>
        <w:br/>
        <w:t xml:space="preserve">for admission to study at the Medical University of Bialystok on the terms applicable at the University, unless the provisions of this paragraph provide otherwise. </w:t>
      </w:r>
    </w:p>
    <w:p w14:paraId="5F8D1589" w14:textId="71C2C868" w:rsidR="00BD43D6"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Admission for studies in a given field o</w:t>
      </w:r>
      <w:r w:rsidRPr="00EC0390">
        <w:rPr>
          <w:rFonts w:ascii="Calibri" w:eastAsia="Times New Roman" w:hAnsi="Calibri" w:cs="Calibri"/>
          <w:sz w:val="24"/>
          <w:szCs w:val="24"/>
          <w:lang w:val="en-GB" w:eastAsia="pl-PL"/>
        </w:rPr>
        <w:t>ccurs within the framework of the same level of study and can occur for vacancies in individual years of study</w:t>
      </w:r>
      <w:r w:rsidRPr="00EC0390">
        <w:rPr>
          <w:rFonts w:ascii="Calibri" w:eastAsia="Times New Roman" w:hAnsi="Calibri" w:cs="Calibri"/>
          <w:sz w:val="24"/>
          <w:szCs w:val="24"/>
          <w:lang w:val="en-GB" w:eastAsia="pl-PL"/>
        </w:rPr>
        <w:br/>
        <w:t>within the limits of seats determined by the regulation of the minister responsible for health matters or the MUB's Senate</w:t>
      </w:r>
    </w:p>
    <w:p w14:paraId="428012DE" w14:textId="1DDC63FF" w:rsidR="00BD43D6"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hAnsi="Calibri" w:cs="Calibri"/>
          <w:sz w:val="24"/>
          <w:szCs w:val="24"/>
          <w:lang w:val="en-GB"/>
        </w:rPr>
        <w:t>Where the minister res</w:t>
      </w:r>
      <w:r w:rsidRPr="00EC0390">
        <w:rPr>
          <w:rFonts w:ascii="Calibri" w:hAnsi="Calibri" w:cs="Calibri"/>
          <w:sz w:val="24"/>
          <w:szCs w:val="24"/>
          <w:lang w:val="en-GB"/>
        </w:rPr>
        <w:t xml:space="preserve">ponsible for health has determines a different number of places for students referred to in paragraph 1, this limit shall apply. </w:t>
      </w:r>
    </w:p>
    <w:p w14:paraId="4660B048" w14:textId="07ABFC81" w:rsidR="00925F12"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The decision on enrolling a student for a specific year of study and on the number of hours of classes</w:t>
      </w:r>
      <w:r w:rsidRPr="00EC0390">
        <w:rPr>
          <w:rFonts w:ascii="Calibri" w:eastAsia="Times New Roman" w:hAnsi="Calibri" w:cs="Calibri"/>
          <w:sz w:val="24"/>
          <w:szCs w:val="24"/>
          <w:lang w:val="en-GB" w:eastAsia="pl-PL"/>
        </w:rPr>
        <w:br/>
        <w:t xml:space="preserve">and the ECTS points to </w:t>
      </w:r>
      <w:r w:rsidRPr="00EC0390">
        <w:rPr>
          <w:rFonts w:ascii="Calibri" w:eastAsia="Times New Roman" w:hAnsi="Calibri" w:cs="Calibri"/>
          <w:sz w:val="24"/>
          <w:szCs w:val="24"/>
          <w:lang w:val="en-GB" w:eastAsia="pl-PL"/>
        </w:rPr>
        <w:t>be transferred shall be made by the Dean, taking into account the programme differences. Considering the above, the assignment may be made for a year lower than the one declared by the student.</w:t>
      </w:r>
    </w:p>
    <w:p w14:paraId="065787A3" w14:textId="3C32260F" w:rsidR="00821740"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hAnsi="Calibri" w:cs="Calibri"/>
          <w:sz w:val="24"/>
          <w:szCs w:val="24"/>
          <w:lang w:val="en-GB"/>
        </w:rPr>
        <w:t>Admission to study is based on documents issued by the Univers</w:t>
      </w:r>
      <w:r w:rsidRPr="00EC0390">
        <w:rPr>
          <w:rFonts w:ascii="Calibri" w:hAnsi="Calibri" w:cs="Calibri"/>
          <w:sz w:val="24"/>
          <w:szCs w:val="24"/>
          <w:lang w:val="en-GB"/>
        </w:rPr>
        <w:t>ity</w:t>
      </w:r>
      <w:r w:rsidRPr="00EC0390">
        <w:rPr>
          <w:rFonts w:ascii="Calibri" w:hAnsi="Calibri" w:cs="Calibri"/>
          <w:sz w:val="24"/>
          <w:szCs w:val="24"/>
          <w:lang w:val="en-GB"/>
        </w:rPr>
        <w:br/>
        <w:t xml:space="preserve">in Ukraine, certifying the course of study. </w:t>
      </w:r>
    </w:p>
    <w:p w14:paraId="66FB24A5" w14:textId="17F8BAB3" w:rsidR="00302E26"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hAnsi="Calibri" w:cs="Calibri"/>
          <w:sz w:val="24"/>
          <w:szCs w:val="24"/>
          <w:lang w:val="en-GB"/>
        </w:rPr>
        <w:t>In the absence of the documents referred to in sec. 5, appropriate periods of these studies may be recognized by verifying the learning outcomes achieved. The method of verification is determined by the Dean</w:t>
      </w:r>
      <w:r w:rsidRPr="00EC0390">
        <w:rPr>
          <w:rFonts w:ascii="Calibri" w:hAnsi="Calibri" w:cs="Calibri"/>
          <w:sz w:val="24"/>
          <w:szCs w:val="24"/>
          <w:lang w:val="en-GB"/>
        </w:rPr>
        <w:t xml:space="preserve"> of a given faculty or a committee appointed by him, respectively. </w:t>
      </w:r>
    </w:p>
    <w:p w14:paraId="4BB9C321" w14:textId="77777777" w:rsidR="00302E26"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 xml:space="preserve">Verification may be carried out in particular through: </w:t>
      </w:r>
    </w:p>
    <w:p w14:paraId="307FA620" w14:textId="77777777" w:rsidR="00302E26" w:rsidRPr="00EC0390" w:rsidRDefault="00907368" w:rsidP="00EC0390">
      <w:pPr>
        <w:pStyle w:val="Akapitzlist"/>
        <w:numPr>
          <w:ilvl w:val="0"/>
          <w:numId w:val="4"/>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in the case of subjects which end with a credit - recognizing the subject as completed,</w:t>
      </w:r>
    </w:p>
    <w:p w14:paraId="2C14EB00" w14:textId="77777777" w:rsidR="00302E26" w:rsidRPr="00EC0390" w:rsidRDefault="00907368" w:rsidP="00EC0390">
      <w:pPr>
        <w:pStyle w:val="Akapitzlist"/>
        <w:numPr>
          <w:ilvl w:val="0"/>
          <w:numId w:val="4"/>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lastRenderedPageBreak/>
        <w:t>in the case of subjects ending with an exami</w:t>
      </w:r>
      <w:r w:rsidRPr="00EC0390">
        <w:rPr>
          <w:rFonts w:ascii="Calibri" w:eastAsia="Times New Roman" w:hAnsi="Calibri" w:cs="Calibri"/>
          <w:sz w:val="24"/>
          <w:szCs w:val="24"/>
          <w:lang w:val="en-GB" w:eastAsia="pl-PL"/>
        </w:rPr>
        <w:t xml:space="preserve">nation - recognizing the subject as passed with a satisfactory result, </w:t>
      </w:r>
    </w:p>
    <w:p w14:paraId="39881C84" w14:textId="77777777" w:rsidR="009F069A" w:rsidRPr="00EC0390" w:rsidRDefault="00907368" w:rsidP="00EC0390">
      <w:pPr>
        <w:pStyle w:val="Akapitzlist"/>
        <w:numPr>
          <w:ilvl w:val="0"/>
          <w:numId w:val="4"/>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obliging the student to take a credit or exam.</w:t>
      </w:r>
    </w:p>
    <w:p w14:paraId="35BAD2AA" w14:textId="3C1F1402" w:rsidR="00562A8A"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Students referred to in sec. 1 admitted to studies at the University in the academic year 2021/2022, where there are differences in curri</w:t>
      </w:r>
      <w:r w:rsidRPr="00EC0390">
        <w:rPr>
          <w:rFonts w:ascii="Calibri" w:eastAsia="Times New Roman" w:hAnsi="Calibri" w:cs="Calibri"/>
          <w:sz w:val="24"/>
          <w:szCs w:val="24"/>
          <w:lang w:val="en-GB" w:eastAsia="pl-PL"/>
        </w:rPr>
        <w:t>culum, including differences in practice are obliged to carry out classes and internships and take credits and exams by the end of the 2022/2023 academic year, and in justified cases, with the consent of the Dean, by the end of the 2023/2024 academic year.</w:t>
      </w:r>
      <w:r w:rsidRPr="00EC0390">
        <w:rPr>
          <w:rFonts w:ascii="Calibri" w:eastAsia="Times New Roman" w:hAnsi="Calibri" w:cs="Calibri"/>
          <w:sz w:val="24"/>
          <w:szCs w:val="24"/>
          <w:lang w:val="en-GB" w:eastAsia="pl-PL"/>
        </w:rPr>
        <w:t xml:space="preserve">  </w:t>
      </w:r>
    </w:p>
    <w:p w14:paraId="41CCAF30" w14:textId="2671E797" w:rsidR="00E43ABE"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If there are differences in the curricula in the scope of subjects preparing for clinical classes or other practical subjects, the condition for admission to participate in classes in such clinical / practical subjects is to complete the subjects prepar</w:t>
      </w:r>
      <w:r w:rsidRPr="00EC0390">
        <w:rPr>
          <w:rFonts w:ascii="Calibri" w:eastAsia="Times New Roman" w:hAnsi="Calibri" w:cs="Calibri"/>
          <w:sz w:val="24"/>
          <w:szCs w:val="24"/>
          <w:lang w:val="en-GB" w:eastAsia="pl-PL"/>
        </w:rPr>
        <w:t xml:space="preserve">ing for these classes in the academic year 2022/2023, and shifted clinical / practical subjects  by 2023/2024 at the latest. </w:t>
      </w:r>
    </w:p>
    <w:p w14:paraId="5B308E03" w14:textId="5831EBA0" w:rsidR="00B1528C"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eastAsia="Times New Roman" w:hAnsi="Calibri" w:cs="Calibri"/>
          <w:sz w:val="24"/>
          <w:szCs w:val="24"/>
          <w:lang w:val="en-GB" w:eastAsia="pl-PL"/>
        </w:rPr>
        <w:t>Students referred to in sec. 1 admitted to study at the University are not entitled to participate in classes during dean's leaves</w:t>
      </w:r>
      <w:r w:rsidRPr="00EC0390">
        <w:rPr>
          <w:rFonts w:ascii="Calibri" w:eastAsia="Times New Roman" w:hAnsi="Calibri" w:cs="Calibri"/>
          <w:sz w:val="24"/>
          <w:szCs w:val="24"/>
          <w:lang w:val="en-GB" w:eastAsia="pl-PL"/>
        </w:rPr>
        <w:t xml:space="preserve">. </w:t>
      </w:r>
    </w:p>
    <w:p w14:paraId="7D47D68E" w14:textId="50F710B5" w:rsidR="00EC0390"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rFonts w:ascii="Calibri" w:hAnsi="Calibri" w:cs="Calibri"/>
          <w:sz w:val="24"/>
          <w:szCs w:val="24"/>
          <w:lang w:val="en-GB"/>
        </w:rPr>
        <w:t>The University reserves the right not to meet the entire limit of places determined accordingly</w:t>
      </w:r>
      <w:r w:rsidRPr="00EC0390">
        <w:rPr>
          <w:rFonts w:ascii="Calibri" w:hAnsi="Calibri" w:cs="Calibri"/>
          <w:sz w:val="24"/>
          <w:szCs w:val="24"/>
          <w:lang w:val="en-GB"/>
        </w:rPr>
        <w:br/>
      </w:r>
      <w:r w:rsidRPr="00EC0390">
        <w:rPr>
          <w:rFonts w:ascii="Calibri" w:hAnsi="Calibri" w:cs="Calibri"/>
          <w:sz w:val="24"/>
          <w:szCs w:val="24"/>
          <w:lang w:val="en-GB"/>
        </w:rPr>
        <w:t>in sec. 2 or sec. for transfer applicants who have completed their education in a modular system or when significant curricular differences resulting from documents or statements of candidates make it impossible for the University's organization to provide</w:t>
      </w:r>
      <w:r w:rsidRPr="00EC0390">
        <w:rPr>
          <w:rFonts w:ascii="Calibri" w:hAnsi="Calibri" w:cs="Calibri"/>
          <w:sz w:val="24"/>
          <w:szCs w:val="24"/>
          <w:lang w:val="en-GB"/>
        </w:rPr>
        <w:t xml:space="preserve"> education, as well as the candidates referred to in § 11 sec. 2nd sentence of the Regulations. </w:t>
      </w:r>
    </w:p>
    <w:p w14:paraId="14CB7E62" w14:textId="66F5C307" w:rsidR="00357C3A" w:rsidRPr="00EC0390" w:rsidRDefault="00907368" w:rsidP="00EC0390">
      <w:pPr>
        <w:pStyle w:val="Akapitzlist"/>
        <w:numPr>
          <w:ilvl w:val="0"/>
          <w:numId w:val="1"/>
        </w:numPr>
        <w:spacing w:after="0" w:line="240" w:lineRule="auto"/>
        <w:rPr>
          <w:rFonts w:ascii="Calibri" w:eastAsia="Times New Roman" w:hAnsi="Calibri" w:cs="Calibri"/>
          <w:sz w:val="24"/>
          <w:szCs w:val="24"/>
          <w:lang w:eastAsia="pl-PL"/>
        </w:rPr>
      </w:pPr>
      <w:r w:rsidRPr="00EC0390">
        <w:rPr>
          <w:lang w:val="en-GB"/>
        </w:rPr>
        <w:t>The Dean decides about admission to full-time studies in Polish, studies in English or part-time studies, taking into account the following criteria:</w:t>
      </w:r>
    </w:p>
    <w:p w14:paraId="28842E2E" w14:textId="77777777" w:rsidR="008503DC" w:rsidRPr="008503DC" w:rsidRDefault="00907368" w:rsidP="008503DC">
      <w:pPr>
        <w:pStyle w:val="Akapitzlist"/>
        <w:numPr>
          <w:ilvl w:val="0"/>
          <w:numId w:val="6"/>
        </w:numPr>
        <w:ind w:left="993" w:hanging="284"/>
        <w:rPr>
          <w:b/>
        </w:rPr>
      </w:pPr>
      <w:r w:rsidRPr="00EC0390">
        <w:rPr>
          <w:lang w:val="en-GB"/>
        </w:rPr>
        <w:t xml:space="preserve">limit of </w:t>
      </w:r>
      <w:r w:rsidRPr="00EC0390">
        <w:rPr>
          <w:lang w:val="en-GB"/>
        </w:rPr>
        <w:t xml:space="preserve">places </w:t>
      </w:r>
    </w:p>
    <w:p w14:paraId="119E9BD7" w14:textId="77777777" w:rsidR="008503DC" w:rsidRPr="008503DC" w:rsidRDefault="00907368" w:rsidP="008503DC">
      <w:pPr>
        <w:pStyle w:val="Akapitzlist"/>
        <w:numPr>
          <w:ilvl w:val="0"/>
          <w:numId w:val="6"/>
        </w:numPr>
        <w:ind w:left="993" w:hanging="284"/>
        <w:rPr>
          <w:b/>
        </w:rPr>
      </w:pPr>
      <w:r w:rsidRPr="00EC0390">
        <w:rPr>
          <w:lang w:val="en-GB"/>
        </w:rPr>
        <w:t>language of education at the Ukrainian university,</w:t>
      </w:r>
    </w:p>
    <w:p w14:paraId="4F327E74" w14:textId="77777777" w:rsidR="008503DC" w:rsidRPr="008503DC" w:rsidRDefault="00907368" w:rsidP="008503DC">
      <w:pPr>
        <w:pStyle w:val="Akapitzlist"/>
        <w:numPr>
          <w:ilvl w:val="0"/>
          <w:numId w:val="6"/>
        </w:numPr>
        <w:ind w:left="993" w:hanging="284"/>
        <w:rPr>
          <w:b/>
        </w:rPr>
      </w:pPr>
      <w:r w:rsidRPr="00EC0390">
        <w:rPr>
          <w:lang w:val="en-GB"/>
        </w:rPr>
        <w:t>the state of program differences in relation to the year of study for which the candidate is to be registered,</w:t>
      </w:r>
    </w:p>
    <w:p w14:paraId="61B557B4" w14:textId="6C352DFF" w:rsidR="00357C3A" w:rsidRPr="008503DC" w:rsidRDefault="00907368" w:rsidP="008503DC">
      <w:pPr>
        <w:pStyle w:val="Akapitzlist"/>
        <w:numPr>
          <w:ilvl w:val="0"/>
          <w:numId w:val="6"/>
        </w:numPr>
        <w:ind w:left="993" w:hanging="284"/>
        <w:rPr>
          <w:b/>
        </w:rPr>
      </w:pPr>
      <w:r w:rsidRPr="00EC0390">
        <w:rPr>
          <w:lang w:val="en-GB"/>
        </w:rPr>
        <w:t>the average of grades of the studies completed so far.</w:t>
      </w:r>
    </w:p>
    <w:p w14:paraId="7C59AD7C" w14:textId="11C42C75" w:rsidR="00B56D45" w:rsidRPr="00EC0390" w:rsidRDefault="00907368" w:rsidP="00EC0390">
      <w:pPr>
        <w:pStyle w:val="Akapitzlist"/>
        <w:numPr>
          <w:ilvl w:val="0"/>
          <w:numId w:val="1"/>
        </w:numPr>
        <w:rPr>
          <w:b/>
        </w:rPr>
      </w:pPr>
      <w:r w:rsidRPr="00EC0390">
        <w:rPr>
          <w:lang w:val="en-GB"/>
        </w:rPr>
        <w:t xml:space="preserve">To students admitted under the </w:t>
      </w:r>
      <w:r w:rsidRPr="00EC0390">
        <w:rPr>
          <w:lang w:val="en-GB"/>
        </w:rPr>
        <w:t>act</w:t>
      </w:r>
      <w:r w:rsidR="006F055E" w:rsidRPr="00EC0390">
        <w:rPr>
          <w:rStyle w:val="markedcontent"/>
          <w:rFonts w:ascii="Calibri" w:hAnsi="Calibri" w:cs="Calibri"/>
          <w:sz w:val="24"/>
          <w:szCs w:val="24"/>
          <w:lang w:val="en-GB"/>
        </w:rPr>
        <w:t xml:space="preserve"> of </w:t>
      </w:r>
      <w:r w:rsidRPr="00EC0390">
        <w:rPr>
          <w:lang w:val="en-GB"/>
        </w:rPr>
        <w:t xml:space="preserve">12 March 2022, on assistance to the citizens of Ukraine in connection with the armed conflict on the territory of this state (Journal  Of Laws, item  583) the rules concerning payments for educational services in force </w:t>
      </w:r>
      <w:r w:rsidRPr="00EC0390">
        <w:rPr>
          <w:lang w:val="en-GB"/>
        </w:rPr>
        <w:br/>
        <w:t>at the University shall apply</w:t>
      </w:r>
      <w:r w:rsidRPr="00EC0390">
        <w:rPr>
          <w:lang w:val="en-GB"/>
        </w:rPr>
        <w:t xml:space="preserve">, including payments for repeating classes due to unsatisfactory learning </w:t>
      </w:r>
      <w:r w:rsidRPr="00EC0390">
        <w:rPr>
          <w:lang w:val="en-GB"/>
        </w:rPr>
        <w:br/>
        <w:t>results,  subject to the provisions of Art. 41 of the cited law.”</w:t>
      </w:r>
    </w:p>
    <w:p w14:paraId="17616ABB" w14:textId="77777777" w:rsidR="00B56D45" w:rsidRPr="000158BF" w:rsidRDefault="00907368" w:rsidP="000158BF">
      <w:pPr>
        <w:pStyle w:val="Nagwek1"/>
        <w:rPr>
          <w:rStyle w:val="markedcontent"/>
        </w:rPr>
      </w:pPr>
      <w:r w:rsidRPr="000158BF">
        <w:rPr>
          <w:rStyle w:val="markedcontent"/>
          <w:lang w:val="en-GB"/>
        </w:rPr>
        <w:t>§ 2</w:t>
      </w:r>
    </w:p>
    <w:p w14:paraId="0F484501" w14:textId="2C950A02" w:rsidR="00B56D45" w:rsidRDefault="00907368" w:rsidP="00747FB9">
      <w:pPr>
        <w:spacing w:after="400"/>
        <w:rPr>
          <w:rStyle w:val="markedcontent"/>
          <w:rFonts w:ascii="Calibri" w:hAnsi="Calibri" w:cs="Calibri"/>
          <w:b/>
          <w:sz w:val="24"/>
          <w:szCs w:val="24"/>
        </w:rPr>
      </w:pPr>
      <w:r w:rsidRPr="00EC0390">
        <w:rPr>
          <w:rStyle w:val="markedcontent"/>
          <w:rFonts w:ascii="Calibri" w:hAnsi="Calibri" w:cs="Calibri"/>
          <w:sz w:val="24"/>
          <w:szCs w:val="24"/>
          <w:lang w:val="en-GB"/>
        </w:rPr>
        <w:t>The Resolution comes into force on the day of adoption.</w:t>
      </w:r>
    </w:p>
    <w:p w14:paraId="5DB5A53B" w14:textId="77777777" w:rsidR="00EC0390" w:rsidRPr="001A6708" w:rsidRDefault="00907368" w:rsidP="00EC0390">
      <w:pPr>
        <w:spacing w:line="360" w:lineRule="auto"/>
        <w:rPr>
          <w:rFonts w:ascii="Calibri" w:hAnsi="Calibri" w:cs="Calibri"/>
          <w:b/>
          <w:sz w:val="24"/>
          <w:szCs w:val="24"/>
          <w:lang w:eastAsia="pl-PL"/>
        </w:rPr>
      </w:pPr>
      <w:r w:rsidRPr="001A6708">
        <w:rPr>
          <w:rFonts w:ascii="Calibri" w:hAnsi="Calibri" w:cs="Calibri"/>
          <w:b/>
          <w:sz w:val="24"/>
          <w:szCs w:val="24"/>
          <w:lang w:val="en-GB" w:eastAsia="pl-PL"/>
        </w:rPr>
        <w:t>Chairman of the Senate</w:t>
      </w:r>
    </w:p>
    <w:p w14:paraId="1C90B90E" w14:textId="77777777" w:rsidR="00EC0390" w:rsidRPr="001A6708" w:rsidRDefault="00907368" w:rsidP="00EC0390">
      <w:pPr>
        <w:spacing w:line="360" w:lineRule="auto"/>
        <w:rPr>
          <w:rFonts w:ascii="Calibri" w:hAnsi="Calibri" w:cs="Calibri"/>
          <w:b/>
          <w:sz w:val="24"/>
          <w:szCs w:val="24"/>
          <w:lang w:eastAsia="pl-PL"/>
        </w:rPr>
      </w:pPr>
      <w:r w:rsidRPr="001A6708">
        <w:rPr>
          <w:rFonts w:ascii="Calibri" w:hAnsi="Calibri" w:cs="Calibri"/>
          <w:b/>
          <w:sz w:val="24"/>
          <w:szCs w:val="24"/>
          <w:lang w:val="en-GB" w:eastAsia="pl-PL"/>
        </w:rPr>
        <w:t>Rector</w:t>
      </w:r>
      <w:bookmarkStart w:id="0" w:name="_GoBack"/>
      <w:bookmarkEnd w:id="0"/>
    </w:p>
    <w:p w14:paraId="771801C9" w14:textId="77777777" w:rsidR="00EC0390" w:rsidRPr="001A6708" w:rsidRDefault="00907368" w:rsidP="00EC0390">
      <w:pPr>
        <w:spacing w:line="360" w:lineRule="auto"/>
        <w:rPr>
          <w:rFonts w:ascii="Calibri" w:hAnsi="Calibri" w:cs="Calibri"/>
          <w:b/>
          <w:sz w:val="24"/>
          <w:szCs w:val="24"/>
          <w:lang w:eastAsia="pl-PL"/>
        </w:rPr>
      </w:pPr>
      <w:r w:rsidRPr="001A6708">
        <w:rPr>
          <w:rFonts w:ascii="Calibri" w:hAnsi="Calibri" w:cs="Calibri"/>
          <w:b/>
          <w:sz w:val="24"/>
          <w:szCs w:val="24"/>
          <w:lang w:val="en-GB" w:eastAsia="pl-PL"/>
        </w:rPr>
        <w:t xml:space="preserve">Prof. dr hab. Adam </w:t>
      </w:r>
      <w:r w:rsidRPr="001A6708">
        <w:rPr>
          <w:rFonts w:ascii="Calibri" w:hAnsi="Calibri" w:cs="Calibri"/>
          <w:b/>
          <w:sz w:val="24"/>
          <w:szCs w:val="24"/>
          <w:lang w:val="en-GB" w:eastAsia="pl-PL"/>
        </w:rPr>
        <w:t>Krętowski</w:t>
      </w:r>
    </w:p>
    <w:sectPr w:rsidR="00EC0390" w:rsidRPr="001A6708" w:rsidSect="00907368">
      <w:pgSz w:w="11906" w:h="16838"/>
      <w:pgMar w:top="964"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061"/>
    <w:multiLevelType w:val="hybridMultilevel"/>
    <w:tmpl w:val="9CA63240"/>
    <w:lvl w:ilvl="0" w:tplc="4462ED2E">
      <w:start w:val="1"/>
      <w:numFmt w:val="lowerLetter"/>
      <w:lvlText w:val="%1)"/>
      <w:lvlJc w:val="left"/>
      <w:pPr>
        <w:ind w:left="720" w:hanging="360"/>
      </w:pPr>
      <w:rPr>
        <w:b w:val="0"/>
      </w:rPr>
    </w:lvl>
    <w:lvl w:ilvl="1" w:tplc="A1B04D0C" w:tentative="1">
      <w:start w:val="1"/>
      <w:numFmt w:val="lowerLetter"/>
      <w:lvlText w:val="%2."/>
      <w:lvlJc w:val="left"/>
      <w:pPr>
        <w:ind w:left="1440" w:hanging="360"/>
      </w:pPr>
    </w:lvl>
    <w:lvl w:ilvl="2" w:tplc="41469F52" w:tentative="1">
      <w:start w:val="1"/>
      <w:numFmt w:val="lowerRoman"/>
      <w:lvlText w:val="%3."/>
      <w:lvlJc w:val="right"/>
      <w:pPr>
        <w:ind w:left="2160" w:hanging="180"/>
      </w:pPr>
    </w:lvl>
    <w:lvl w:ilvl="3" w:tplc="B3C0824A" w:tentative="1">
      <w:start w:val="1"/>
      <w:numFmt w:val="decimal"/>
      <w:lvlText w:val="%4."/>
      <w:lvlJc w:val="left"/>
      <w:pPr>
        <w:ind w:left="2880" w:hanging="360"/>
      </w:pPr>
    </w:lvl>
    <w:lvl w:ilvl="4" w:tplc="CB762188" w:tentative="1">
      <w:start w:val="1"/>
      <w:numFmt w:val="lowerLetter"/>
      <w:lvlText w:val="%5."/>
      <w:lvlJc w:val="left"/>
      <w:pPr>
        <w:ind w:left="3600" w:hanging="360"/>
      </w:pPr>
    </w:lvl>
    <w:lvl w:ilvl="5" w:tplc="E626DBE6" w:tentative="1">
      <w:start w:val="1"/>
      <w:numFmt w:val="lowerRoman"/>
      <w:lvlText w:val="%6."/>
      <w:lvlJc w:val="right"/>
      <w:pPr>
        <w:ind w:left="4320" w:hanging="180"/>
      </w:pPr>
    </w:lvl>
    <w:lvl w:ilvl="6" w:tplc="8C9E2E64" w:tentative="1">
      <w:start w:val="1"/>
      <w:numFmt w:val="decimal"/>
      <w:lvlText w:val="%7."/>
      <w:lvlJc w:val="left"/>
      <w:pPr>
        <w:ind w:left="5040" w:hanging="360"/>
      </w:pPr>
    </w:lvl>
    <w:lvl w:ilvl="7" w:tplc="1320057C" w:tentative="1">
      <w:start w:val="1"/>
      <w:numFmt w:val="lowerLetter"/>
      <w:lvlText w:val="%8."/>
      <w:lvlJc w:val="left"/>
      <w:pPr>
        <w:ind w:left="5760" w:hanging="360"/>
      </w:pPr>
    </w:lvl>
    <w:lvl w:ilvl="8" w:tplc="C488439C" w:tentative="1">
      <w:start w:val="1"/>
      <w:numFmt w:val="lowerRoman"/>
      <w:lvlText w:val="%9."/>
      <w:lvlJc w:val="right"/>
      <w:pPr>
        <w:ind w:left="6480" w:hanging="180"/>
      </w:pPr>
    </w:lvl>
  </w:abstractNum>
  <w:abstractNum w:abstractNumId="1" w15:restartNumberingAfterBreak="0">
    <w:nsid w:val="2EF36457"/>
    <w:multiLevelType w:val="hybridMultilevel"/>
    <w:tmpl w:val="D71ABE40"/>
    <w:lvl w:ilvl="0" w:tplc="CBD8952A">
      <w:start w:val="1"/>
      <w:numFmt w:val="decimal"/>
      <w:lvlText w:val="%1."/>
      <w:lvlJc w:val="left"/>
      <w:pPr>
        <w:ind w:left="720" w:hanging="360"/>
      </w:pPr>
      <w:rPr>
        <w:rFonts w:hint="default"/>
        <w:b w:val="0"/>
      </w:rPr>
    </w:lvl>
    <w:lvl w:ilvl="1" w:tplc="F4ECCB6A" w:tentative="1">
      <w:start w:val="1"/>
      <w:numFmt w:val="lowerLetter"/>
      <w:lvlText w:val="%2."/>
      <w:lvlJc w:val="left"/>
      <w:pPr>
        <w:ind w:left="1440" w:hanging="360"/>
      </w:pPr>
    </w:lvl>
    <w:lvl w:ilvl="2" w:tplc="5BE60656" w:tentative="1">
      <w:start w:val="1"/>
      <w:numFmt w:val="lowerRoman"/>
      <w:lvlText w:val="%3."/>
      <w:lvlJc w:val="right"/>
      <w:pPr>
        <w:ind w:left="2160" w:hanging="180"/>
      </w:pPr>
    </w:lvl>
    <w:lvl w:ilvl="3" w:tplc="54E65D76" w:tentative="1">
      <w:start w:val="1"/>
      <w:numFmt w:val="decimal"/>
      <w:lvlText w:val="%4."/>
      <w:lvlJc w:val="left"/>
      <w:pPr>
        <w:ind w:left="2880" w:hanging="360"/>
      </w:pPr>
    </w:lvl>
    <w:lvl w:ilvl="4" w:tplc="0FD258AE" w:tentative="1">
      <w:start w:val="1"/>
      <w:numFmt w:val="lowerLetter"/>
      <w:lvlText w:val="%5."/>
      <w:lvlJc w:val="left"/>
      <w:pPr>
        <w:ind w:left="3600" w:hanging="360"/>
      </w:pPr>
    </w:lvl>
    <w:lvl w:ilvl="5" w:tplc="8690C03A" w:tentative="1">
      <w:start w:val="1"/>
      <w:numFmt w:val="lowerRoman"/>
      <w:lvlText w:val="%6."/>
      <w:lvlJc w:val="right"/>
      <w:pPr>
        <w:ind w:left="4320" w:hanging="180"/>
      </w:pPr>
    </w:lvl>
    <w:lvl w:ilvl="6" w:tplc="FF60C480" w:tentative="1">
      <w:start w:val="1"/>
      <w:numFmt w:val="decimal"/>
      <w:lvlText w:val="%7."/>
      <w:lvlJc w:val="left"/>
      <w:pPr>
        <w:ind w:left="5040" w:hanging="360"/>
      </w:pPr>
    </w:lvl>
    <w:lvl w:ilvl="7" w:tplc="F3161A5E" w:tentative="1">
      <w:start w:val="1"/>
      <w:numFmt w:val="lowerLetter"/>
      <w:lvlText w:val="%8."/>
      <w:lvlJc w:val="left"/>
      <w:pPr>
        <w:ind w:left="5760" w:hanging="360"/>
      </w:pPr>
    </w:lvl>
    <w:lvl w:ilvl="8" w:tplc="0F522398" w:tentative="1">
      <w:start w:val="1"/>
      <w:numFmt w:val="lowerRoman"/>
      <w:lvlText w:val="%9."/>
      <w:lvlJc w:val="right"/>
      <w:pPr>
        <w:ind w:left="6480" w:hanging="180"/>
      </w:pPr>
    </w:lvl>
  </w:abstractNum>
  <w:abstractNum w:abstractNumId="2" w15:restartNumberingAfterBreak="0">
    <w:nsid w:val="31FA0B42"/>
    <w:multiLevelType w:val="hybridMultilevel"/>
    <w:tmpl w:val="170A5578"/>
    <w:lvl w:ilvl="0" w:tplc="6E8C7BF6">
      <w:start w:val="1"/>
      <w:numFmt w:val="bullet"/>
      <w:lvlText w:val=""/>
      <w:lvlJc w:val="left"/>
      <w:pPr>
        <w:ind w:left="1440" w:hanging="360"/>
      </w:pPr>
      <w:rPr>
        <w:rFonts w:ascii="Symbol" w:hAnsi="Symbol" w:hint="default"/>
      </w:rPr>
    </w:lvl>
    <w:lvl w:ilvl="1" w:tplc="0C5ED7EA" w:tentative="1">
      <w:start w:val="1"/>
      <w:numFmt w:val="bullet"/>
      <w:lvlText w:val="o"/>
      <w:lvlJc w:val="left"/>
      <w:pPr>
        <w:ind w:left="2160" w:hanging="360"/>
      </w:pPr>
      <w:rPr>
        <w:rFonts w:ascii="Courier New" w:hAnsi="Courier New" w:cs="Courier New" w:hint="default"/>
      </w:rPr>
    </w:lvl>
    <w:lvl w:ilvl="2" w:tplc="D354C1BE" w:tentative="1">
      <w:start w:val="1"/>
      <w:numFmt w:val="bullet"/>
      <w:lvlText w:val=""/>
      <w:lvlJc w:val="left"/>
      <w:pPr>
        <w:ind w:left="2880" w:hanging="360"/>
      </w:pPr>
      <w:rPr>
        <w:rFonts w:ascii="Wingdings" w:hAnsi="Wingdings" w:hint="default"/>
      </w:rPr>
    </w:lvl>
    <w:lvl w:ilvl="3" w:tplc="4758752C" w:tentative="1">
      <w:start w:val="1"/>
      <w:numFmt w:val="bullet"/>
      <w:lvlText w:val=""/>
      <w:lvlJc w:val="left"/>
      <w:pPr>
        <w:ind w:left="3600" w:hanging="360"/>
      </w:pPr>
      <w:rPr>
        <w:rFonts w:ascii="Symbol" w:hAnsi="Symbol" w:hint="default"/>
      </w:rPr>
    </w:lvl>
    <w:lvl w:ilvl="4" w:tplc="B366014A" w:tentative="1">
      <w:start w:val="1"/>
      <w:numFmt w:val="bullet"/>
      <w:lvlText w:val="o"/>
      <w:lvlJc w:val="left"/>
      <w:pPr>
        <w:ind w:left="4320" w:hanging="360"/>
      </w:pPr>
      <w:rPr>
        <w:rFonts w:ascii="Courier New" w:hAnsi="Courier New" w:cs="Courier New" w:hint="default"/>
      </w:rPr>
    </w:lvl>
    <w:lvl w:ilvl="5" w:tplc="CB96B810" w:tentative="1">
      <w:start w:val="1"/>
      <w:numFmt w:val="bullet"/>
      <w:lvlText w:val=""/>
      <w:lvlJc w:val="left"/>
      <w:pPr>
        <w:ind w:left="5040" w:hanging="360"/>
      </w:pPr>
      <w:rPr>
        <w:rFonts w:ascii="Wingdings" w:hAnsi="Wingdings" w:hint="default"/>
      </w:rPr>
    </w:lvl>
    <w:lvl w:ilvl="6" w:tplc="EEC82FB2" w:tentative="1">
      <w:start w:val="1"/>
      <w:numFmt w:val="bullet"/>
      <w:lvlText w:val=""/>
      <w:lvlJc w:val="left"/>
      <w:pPr>
        <w:ind w:left="5760" w:hanging="360"/>
      </w:pPr>
      <w:rPr>
        <w:rFonts w:ascii="Symbol" w:hAnsi="Symbol" w:hint="default"/>
      </w:rPr>
    </w:lvl>
    <w:lvl w:ilvl="7" w:tplc="1CD0DB0A" w:tentative="1">
      <w:start w:val="1"/>
      <w:numFmt w:val="bullet"/>
      <w:lvlText w:val="o"/>
      <w:lvlJc w:val="left"/>
      <w:pPr>
        <w:ind w:left="6480" w:hanging="360"/>
      </w:pPr>
      <w:rPr>
        <w:rFonts w:ascii="Courier New" w:hAnsi="Courier New" w:cs="Courier New" w:hint="default"/>
      </w:rPr>
    </w:lvl>
    <w:lvl w:ilvl="8" w:tplc="D278DECA" w:tentative="1">
      <w:start w:val="1"/>
      <w:numFmt w:val="bullet"/>
      <w:lvlText w:val=""/>
      <w:lvlJc w:val="left"/>
      <w:pPr>
        <w:ind w:left="7200" w:hanging="360"/>
      </w:pPr>
      <w:rPr>
        <w:rFonts w:ascii="Wingdings" w:hAnsi="Wingdings" w:hint="default"/>
      </w:rPr>
    </w:lvl>
  </w:abstractNum>
  <w:abstractNum w:abstractNumId="3" w15:restartNumberingAfterBreak="0">
    <w:nsid w:val="587077ED"/>
    <w:multiLevelType w:val="hybridMultilevel"/>
    <w:tmpl w:val="1F72CB84"/>
    <w:lvl w:ilvl="0" w:tplc="2A7AEBCA">
      <w:start w:val="1"/>
      <w:numFmt w:val="decimal"/>
      <w:lvlText w:val="%1."/>
      <w:lvlJc w:val="left"/>
      <w:pPr>
        <w:ind w:left="720" w:hanging="360"/>
      </w:pPr>
      <w:rPr>
        <w:rFonts w:hint="default"/>
      </w:rPr>
    </w:lvl>
    <w:lvl w:ilvl="1" w:tplc="3DECF04C" w:tentative="1">
      <w:start w:val="1"/>
      <w:numFmt w:val="lowerLetter"/>
      <w:lvlText w:val="%2."/>
      <w:lvlJc w:val="left"/>
      <w:pPr>
        <w:ind w:left="1440" w:hanging="360"/>
      </w:pPr>
    </w:lvl>
    <w:lvl w:ilvl="2" w:tplc="23CE1532" w:tentative="1">
      <w:start w:val="1"/>
      <w:numFmt w:val="lowerRoman"/>
      <w:lvlText w:val="%3."/>
      <w:lvlJc w:val="right"/>
      <w:pPr>
        <w:ind w:left="2160" w:hanging="180"/>
      </w:pPr>
    </w:lvl>
    <w:lvl w:ilvl="3" w:tplc="9B42D2F4" w:tentative="1">
      <w:start w:val="1"/>
      <w:numFmt w:val="decimal"/>
      <w:lvlText w:val="%4."/>
      <w:lvlJc w:val="left"/>
      <w:pPr>
        <w:ind w:left="2880" w:hanging="360"/>
      </w:pPr>
    </w:lvl>
    <w:lvl w:ilvl="4" w:tplc="90660CBA" w:tentative="1">
      <w:start w:val="1"/>
      <w:numFmt w:val="lowerLetter"/>
      <w:lvlText w:val="%5."/>
      <w:lvlJc w:val="left"/>
      <w:pPr>
        <w:ind w:left="3600" w:hanging="360"/>
      </w:pPr>
    </w:lvl>
    <w:lvl w:ilvl="5" w:tplc="B20E4D38" w:tentative="1">
      <w:start w:val="1"/>
      <w:numFmt w:val="lowerRoman"/>
      <w:lvlText w:val="%6."/>
      <w:lvlJc w:val="right"/>
      <w:pPr>
        <w:ind w:left="4320" w:hanging="180"/>
      </w:pPr>
    </w:lvl>
    <w:lvl w:ilvl="6" w:tplc="DA06BF02" w:tentative="1">
      <w:start w:val="1"/>
      <w:numFmt w:val="decimal"/>
      <w:lvlText w:val="%7."/>
      <w:lvlJc w:val="left"/>
      <w:pPr>
        <w:ind w:left="5040" w:hanging="360"/>
      </w:pPr>
    </w:lvl>
    <w:lvl w:ilvl="7" w:tplc="4A589224" w:tentative="1">
      <w:start w:val="1"/>
      <w:numFmt w:val="lowerLetter"/>
      <w:lvlText w:val="%8."/>
      <w:lvlJc w:val="left"/>
      <w:pPr>
        <w:ind w:left="5760" w:hanging="360"/>
      </w:pPr>
    </w:lvl>
    <w:lvl w:ilvl="8" w:tplc="E1D8AE82" w:tentative="1">
      <w:start w:val="1"/>
      <w:numFmt w:val="lowerRoman"/>
      <w:lvlText w:val="%9."/>
      <w:lvlJc w:val="right"/>
      <w:pPr>
        <w:ind w:left="6480" w:hanging="180"/>
      </w:pPr>
    </w:lvl>
  </w:abstractNum>
  <w:abstractNum w:abstractNumId="4" w15:restartNumberingAfterBreak="0">
    <w:nsid w:val="5AA94DD6"/>
    <w:multiLevelType w:val="hybridMultilevel"/>
    <w:tmpl w:val="AECC4192"/>
    <w:lvl w:ilvl="0" w:tplc="9DE6169E">
      <w:start w:val="1"/>
      <w:numFmt w:val="decimal"/>
      <w:lvlText w:val="%1."/>
      <w:lvlJc w:val="left"/>
      <w:pPr>
        <w:ind w:left="720" w:hanging="360"/>
      </w:pPr>
    </w:lvl>
    <w:lvl w:ilvl="1" w:tplc="F8E27D9E" w:tentative="1">
      <w:start w:val="1"/>
      <w:numFmt w:val="lowerLetter"/>
      <w:lvlText w:val="%2."/>
      <w:lvlJc w:val="left"/>
      <w:pPr>
        <w:ind w:left="1440" w:hanging="360"/>
      </w:pPr>
    </w:lvl>
    <w:lvl w:ilvl="2" w:tplc="B62AD9FC" w:tentative="1">
      <w:start w:val="1"/>
      <w:numFmt w:val="lowerRoman"/>
      <w:lvlText w:val="%3."/>
      <w:lvlJc w:val="right"/>
      <w:pPr>
        <w:ind w:left="2160" w:hanging="180"/>
      </w:pPr>
    </w:lvl>
    <w:lvl w:ilvl="3" w:tplc="2B46686C" w:tentative="1">
      <w:start w:val="1"/>
      <w:numFmt w:val="decimal"/>
      <w:lvlText w:val="%4."/>
      <w:lvlJc w:val="left"/>
      <w:pPr>
        <w:ind w:left="2880" w:hanging="360"/>
      </w:pPr>
    </w:lvl>
    <w:lvl w:ilvl="4" w:tplc="51687736" w:tentative="1">
      <w:start w:val="1"/>
      <w:numFmt w:val="lowerLetter"/>
      <w:lvlText w:val="%5."/>
      <w:lvlJc w:val="left"/>
      <w:pPr>
        <w:ind w:left="3600" w:hanging="360"/>
      </w:pPr>
    </w:lvl>
    <w:lvl w:ilvl="5" w:tplc="E21CFDE0" w:tentative="1">
      <w:start w:val="1"/>
      <w:numFmt w:val="lowerRoman"/>
      <w:lvlText w:val="%6."/>
      <w:lvlJc w:val="right"/>
      <w:pPr>
        <w:ind w:left="4320" w:hanging="180"/>
      </w:pPr>
    </w:lvl>
    <w:lvl w:ilvl="6" w:tplc="2CAC266A" w:tentative="1">
      <w:start w:val="1"/>
      <w:numFmt w:val="decimal"/>
      <w:lvlText w:val="%7."/>
      <w:lvlJc w:val="left"/>
      <w:pPr>
        <w:ind w:left="5040" w:hanging="360"/>
      </w:pPr>
    </w:lvl>
    <w:lvl w:ilvl="7" w:tplc="1B224342" w:tentative="1">
      <w:start w:val="1"/>
      <w:numFmt w:val="lowerLetter"/>
      <w:lvlText w:val="%8."/>
      <w:lvlJc w:val="left"/>
      <w:pPr>
        <w:ind w:left="5760" w:hanging="360"/>
      </w:pPr>
    </w:lvl>
    <w:lvl w:ilvl="8" w:tplc="85DCA984" w:tentative="1">
      <w:start w:val="1"/>
      <w:numFmt w:val="lowerRoman"/>
      <w:lvlText w:val="%9."/>
      <w:lvlJc w:val="right"/>
      <w:pPr>
        <w:ind w:left="6480" w:hanging="180"/>
      </w:pPr>
    </w:lvl>
  </w:abstractNum>
  <w:abstractNum w:abstractNumId="5" w15:restartNumberingAfterBreak="0">
    <w:nsid w:val="7A364DD8"/>
    <w:multiLevelType w:val="hybridMultilevel"/>
    <w:tmpl w:val="143A467C"/>
    <w:lvl w:ilvl="0" w:tplc="F29628B4">
      <w:start w:val="1"/>
      <w:numFmt w:val="bullet"/>
      <w:lvlText w:val=""/>
      <w:lvlJc w:val="left"/>
      <w:pPr>
        <w:ind w:left="1440" w:hanging="360"/>
      </w:pPr>
      <w:rPr>
        <w:rFonts w:ascii="Symbol" w:hAnsi="Symbol" w:hint="default"/>
      </w:rPr>
    </w:lvl>
    <w:lvl w:ilvl="1" w:tplc="F830ED1A" w:tentative="1">
      <w:start w:val="1"/>
      <w:numFmt w:val="bullet"/>
      <w:lvlText w:val="o"/>
      <w:lvlJc w:val="left"/>
      <w:pPr>
        <w:ind w:left="2160" w:hanging="360"/>
      </w:pPr>
      <w:rPr>
        <w:rFonts w:ascii="Courier New" w:hAnsi="Courier New" w:cs="Courier New" w:hint="default"/>
      </w:rPr>
    </w:lvl>
    <w:lvl w:ilvl="2" w:tplc="8F24CEC8" w:tentative="1">
      <w:start w:val="1"/>
      <w:numFmt w:val="bullet"/>
      <w:lvlText w:val=""/>
      <w:lvlJc w:val="left"/>
      <w:pPr>
        <w:ind w:left="2880" w:hanging="360"/>
      </w:pPr>
      <w:rPr>
        <w:rFonts w:ascii="Wingdings" w:hAnsi="Wingdings" w:hint="default"/>
      </w:rPr>
    </w:lvl>
    <w:lvl w:ilvl="3" w:tplc="52DE72D0" w:tentative="1">
      <w:start w:val="1"/>
      <w:numFmt w:val="bullet"/>
      <w:lvlText w:val=""/>
      <w:lvlJc w:val="left"/>
      <w:pPr>
        <w:ind w:left="3600" w:hanging="360"/>
      </w:pPr>
      <w:rPr>
        <w:rFonts w:ascii="Symbol" w:hAnsi="Symbol" w:hint="default"/>
      </w:rPr>
    </w:lvl>
    <w:lvl w:ilvl="4" w:tplc="016610C2" w:tentative="1">
      <w:start w:val="1"/>
      <w:numFmt w:val="bullet"/>
      <w:lvlText w:val="o"/>
      <w:lvlJc w:val="left"/>
      <w:pPr>
        <w:ind w:left="4320" w:hanging="360"/>
      </w:pPr>
      <w:rPr>
        <w:rFonts w:ascii="Courier New" w:hAnsi="Courier New" w:cs="Courier New" w:hint="default"/>
      </w:rPr>
    </w:lvl>
    <w:lvl w:ilvl="5" w:tplc="37F03DD6" w:tentative="1">
      <w:start w:val="1"/>
      <w:numFmt w:val="bullet"/>
      <w:lvlText w:val=""/>
      <w:lvlJc w:val="left"/>
      <w:pPr>
        <w:ind w:left="5040" w:hanging="360"/>
      </w:pPr>
      <w:rPr>
        <w:rFonts w:ascii="Wingdings" w:hAnsi="Wingdings" w:hint="default"/>
      </w:rPr>
    </w:lvl>
    <w:lvl w:ilvl="6" w:tplc="C9484998" w:tentative="1">
      <w:start w:val="1"/>
      <w:numFmt w:val="bullet"/>
      <w:lvlText w:val=""/>
      <w:lvlJc w:val="left"/>
      <w:pPr>
        <w:ind w:left="5760" w:hanging="360"/>
      </w:pPr>
      <w:rPr>
        <w:rFonts w:ascii="Symbol" w:hAnsi="Symbol" w:hint="default"/>
      </w:rPr>
    </w:lvl>
    <w:lvl w:ilvl="7" w:tplc="BB8EAE6C" w:tentative="1">
      <w:start w:val="1"/>
      <w:numFmt w:val="bullet"/>
      <w:lvlText w:val="o"/>
      <w:lvlJc w:val="left"/>
      <w:pPr>
        <w:ind w:left="6480" w:hanging="360"/>
      </w:pPr>
      <w:rPr>
        <w:rFonts w:ascii="Courier New" w:hAnsi="Courier New" w:cs="Courier New" w:hint="default"/>
      </w:rPr>
    </w:lvl>
    <w:lvl w:ilvl="8" w:tplc="F10C21FE" w:tentative="1">
      <w:start w:val="1"/>
      <w:numFmt w:val="bullet"/>
      <w:lvlText w:val=""/>
      <w:lvlJc w:val="left"/>
      <w:pPr>
        <w:ind w:left="7200" w:hanging="360"/>
      </w:pPr>
      <w:rPr>
        <w:rFonts w:ascii="Wingdings" w:hAnsi="Wingdings" w:hint="default"/>
      </w:rPr>
    </w:lvl>
  </w:abstractNum>
  <w:abstractNum w:abstractNumId="6" w15:restartNumberingAfterBreak="0">
    <w:nsid w:val="7CD42A3B"/>
    <w:multiLevelType w:val="hybridMultilevel"/>
    <w:tmpl w:val="36085010"/>
    <w:lvl w:ilvl="0" w:tplc="C6A67A8A">
      <w:start w:val="1"/>
      <w:numFmt w:val="lowerLetter"/>
      <w:lvlText w:val="%1)"/>
      <w:lvlJc w:val="left"/>
      <w:pPr>
        <w:ind w:left="720" w:hanging="360"/>
      </w:pPr>
      <w:rPr>
        <w:rFonts w:hint="default"/>
      </w:rPr>
    </w:lvl>
    <w:lvl w:ilvl="1" w:tplc="85220DC0" w:tentative="1">
      <w:start w:val="1"/>
      <w:numFmt w:val="lowerLetter"/>
      <w:lvlText w:val="%2."/>
      <w:lvlJc w:val="left"/>
      <w:pPr>
        <w:ind w:left="1440" w:hanging="360"/>
      </w:pPr>
    </w:lvl>
    <w:lvl w:ilvl="2" w:tplc="F2986D56" w:tentative="1">
      <w:start w:val="1"/>
      <w:numFmt w:val="lowerRoman"/>
      <w:lvlText w:val="%3."/>
      <w:lvlJc w:val="right"/>
      <w:pPr>
        <w:ind w:left="2160" w:hanging="180"/>
      </w:pPr>
    </w:lvl>
    <w:lvl w:ilvl="3" w:tplc="169E0882" w:tentative="1">
      <w:start w:val="1"/>
      <w:numFmt w:val="decimal"/>
      <w:lvlText w:val="%4."/>
      <w:lvlJc w:val="left"/>
      <w:pPr>
        <w:ind w:left="2880" w:hanging="360"/>
      </w:pPr>
    </w:lvl>
    <w:lvl w:ilvl="4" w:tplc="C63C8828" w:tentative="1">
      <w:start w:val="1"/>
      <w:numFmt w:val="lowerLetter"/>
      <w:lvlText w:val="%5."/>
      <w:lvlJc w:val="left"/>
      <w:pPr>
        <w:ind w:left="3600" w:hanging="360"/>
      </w:pPr>
    </w:lvl>
    <w:lvl w:ilvl="5" w:tplc="EC8437B8" w:tentative="1">
      <w:start w:val="1"/>
      <w:numFmt w:val="lowerRoman"/>
      <w:lvlText w:val="%6."/>
      <w:lvlJc w:val="right"/>
      <w:pPr>
        <w:ind w:left="4320" w:hanging="180"/>
      </w:pPr>
    </w:lvl>
    <w:lvl w:ilvl="6" w:tplc="0F6CF778" w:tentative="1">
      <w:start w:val="1"/>
      <w:numFmt w:val="decimal"/>
      <w:lvlText w:val="%7."/>
      <w:lvlJc w:val="left"/>
      <w:pPr>
        <w:ind w:left="5040" w:hanging="360"/>
      </w:pPr>
    </w:lvl>
    <w:lvl w:ilvl="7" w:tplc="3EEAE3E2" w:tentative="1">
      <w:start w:val="1"/>
      <w:numFmt w:val="lowerLetter"/>
      <w:lvlText w:val="%8."/>
      <w:lvlJc w:val="left"/>
      <w:pPr>
        <w:ind w:left="5760" w:hanging="360"/>
      </w:pPr>
    </w:lvl>
    <w:lvl w:ilvl="8" w:tplc="FC70DA82"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CC"/>
    <w:rsid w:val="000158BF"/>
    <w:rsid w:val="000541CC"/>
    <w:rsid w:val="000C118F"/>
    <w:rsid w:val="00155DAB"/>
    <w:rsid w:val="00175612"/>
    <w:rsid w:val="001A6708"/>
    <w:rsid w:val="001B0E21"/>
    <w:rsid w:val="00223E8A"/>
    <w:rsid w:val="002C4DDE"/>
    <w:rsid w:val="002C54F0"/>
    <w:rsid w:val="00302E26"/>
    <w:rsid w:val="00340147"/>
    <w:rsid w:val="00357C3A"/>
    <w:rsid w:val="003665EA"/>
    <w:rsid w:val="0038145F"/>
    <w:rsid w:val="00396C69"/>
    <w:rsid w:val="0042270A"/>
    <w:rsid w:val="00512816"/>
    <w:rsid w:val="005601CC"/>
    <w:rsid w:val="00562A8A"/>
    <w:rsid w:val="00584906"/>
    <w:rsid w:val="005D21B9"/>
    <w:rsid w:val="006F055E"/>
    <w:rsid w:val="00701E1F"/>
    <w:rsid w:val="00747FB9"/>
    <w:rsid w:val="00777048"/>
    <w:rsid w:val="00803EDA"/>
    <w:rsid w:val="00821740"/>
    <w:rsid w:val="008503DC"/>
    <w:rsid w:val="00873D96"/>
    <w:rsid w:val="008E5C66"/>
    <w:rsid w:val="00907368"/>
    <w:rsid w:val="00925F12"/>
    <w:rsid w:val="009477E1"/>
    <w:rsid w:val="009F069A"/>
    <w:rsid w:val="00A152B6"/>
    <w:rsid w:val="00B1528C"/>
    <w:rsid w:val="00B56D45"/>
    <w:rsid w:val="00BD43D6"/>
    <w:rsid w:val="00CE1B4B"/>
    <w:rsid w:val="00E43ABE"/>
    <w:rsid w:val="00E46923"/>
    <w:rsid w:val="00EA2FE7"/>
    <w:rsid w:val="00EC0390"/>
    <w:rsid w:val="00F11D9C"/>
    <w:rsid w:val="00FB2426"/>
    <w:rsid w:val="00FB3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11D7F-8649-4106-8C92-A1186A70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158BF"/>
    <w:pPr>
      <w:outlineLvl w:val="0"/>
    </w:pPr>
    <w:rPr>
      <w:rFonts w:ascii="Calibri" w:hAnsi="Calibri" w:cs="Calibri"/>
      <w:b/>
      <w:sz w:val="24"/>
      <w:szCs w:val="24"/>
    </w:rPr>
  </w:style>
  <w:style w:type="paragraph" w:styleId="Nagwek2">
    <w:name w:val="heading 2"/>
    <w:basedOn w:val="Normalny"/>
    <w:link w:val="Nagwek2Znak"/>
    <w:uiPriority w:val="9"/>
    <w:qFormat/>
    <w:rsid w:val="002C4DD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5601CC"/>
  </w:style>
  <w:style w:type="character" w:customStyle="1" w:styleId="Nagwek2Znak">
    <w:name w:val="Nagłówek 2 Znak"/>
    <w:basedOn w:val="Domylnaczcionkaakapitu"/>
    <w:link w:val="Nagwek2"/>
    <w:uiPriority w:val="9"/>
    <w:rsid w:val="002C4DDE"/>
    <w:rPr>
      <w:rFonts w:ascii="Times New Roman" w:eastAsia="Times New Roman" w:hAnsi="Times New Roman" w:cs="Times New Roman"/>
      <w:b/>
      <w:bCs/>
      <w:sz w:val="36"/>
      <w:szCs w:val="36"/>
      <w:lang w:eastAsia="pl-PL"/>
    </w:rPr>
  </w:style>
  <w:style w:type="character" w:customStyle="1" w:styleId="highlight">
    <w:name w:val="highlight"/>
    <w:basedOn w:val="Domylnaczcionkaakapitu"/>
    <w:rsid w:val="00584906"/>
  </w:style>
  <w:style w:type="paragraph" w:styleId="Akapitzlist">
    <w:name w:val="List Paragraph"/>
    <w:basedOn w:val="Normalny"/>
    <w:uiPriority w:val="34"/>
    <w:qFormat/>
    <w:rsid w:val="00BD43D6"/>
    <w:pPr>
      <w:ind w:left="720"/>
      <w:contextualSpacing/>
    </w:pPr>
  </w:style>
  <w:style w:type="paragraph" w:styleId="Tekstdymka">
    <w:name w:val="Balloon Text"/>
    <w:basedOn w:val="Normalny"/>
    <w:link w:val="TekstdymkaZnak"/>
    <w:uiPriority w:val="99"/>
    <w:semiHidden/>
    <w:unhideWhenUsed/>
    <w:rsid w:val="006F05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55E"/>
    <w:rPr>
      <w:rFonts w:ascii="Segoe UI" w:hAnsi="Segoe UI" w:cs="Segoe UI"/>
      <w:sz w:val="18"/>
      <w:szCs w:val="18"/>
    </w:rPr>
  </w:style>
  <w:style w:type="character" w:styleId="Odwoaniedokomentarza">
    <w:name w:val="annotation reference"/>
    <w:basedOn w:val="Domylnaczcionkaakapitu"/>
    <w:uiPriority w:val="99"/>
    <w:semiHidden/>
    <w:unhideWhenUsed/>
    <w:rsid w:val="00175612"/>
    <w:rPr>
      <w:sz w:val="16"/>
      <w:szCs w:val="16"/>
    </w:rPr>
  </w:style>
  <w:style w:type="paragraph" w:styleId="Tekstkomentarza">
    <w:name w:val="annotation text"/>
    <w:basedOn w:val="Normalny"/>
    <w:link w:val="TekstkomentarzaZnak"/>
    <w:uiPriority w:val="99"/>
    <w:semiHidden/>
    <w:unhideWhenUsed/>
    <w:rsid w:val="00175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5612"/>
    <w:rPr>
      <w:sz w:val="20"/>
      <w:szCs w:val="20"/>
    </w:rPr>
  </w:style>
  <w:style w:type="paragraph" w:styleId="Tematkomentarza">
    <w:name w:val="annotation subject"/>
    <w:basedOn w:val="Tekstkomentarza"/>
    <w:next w:val="Tekstkomentarza"/>
    <w:link w:val="TematkomentarzaZnak"/>
    <w:uiPriority w:val="99"/>
    <w:semiHidden/>
    <w:unhideWhenUsed/>
    <w:rsid w:val="00175612"/>
    <w:rPr>
      <w:b/>
      <w:bCs/>
    </w:rPr>
  </w:style>
  <w:style w:type="character" w:customStyle="1" w:styleId="TematkomentarzaZnak">
    <w:name w:val="Temat komentarza Znak"/>
    <w:basedOn w:val="TekstkomentarzaZnak"/>
    <w:link w:val="Tematkomentarza"/>
    <w:uiPriority w:val="99"/>
    <w:semiHidden/>
    <w:rsid w:val="00175612"/>
    <w:rPr>
      <w:b/>
      <w:bCs/>
      <w:sz w:val="20"/>
      <w:szCs w:val="20"/>
    </w:rPr>
  </w:style>
  <w:style w:type="character" w:customStyle="1" w:styleId="Nagwek1Znak">
    <w:name w:val="Nagłówek 1 Znak"/>
    <w:basedOn w:val="Domylnaczcionkaakapitu"/>
    <w:link w:val="Nagwek1"/>
    <w:uiPriority w:val="9"/>
    <w:rsid w:val="000158BF"/>
    <w:rPr>
      <w:rFonts w:ascii="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82F1-55AF-49F1-8F8E-A7569ED1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779</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Uchwała Senatu w sprawie zmiany Regulaminu Studiów I Stopnia, II Stopnia oraz Jednolitych Studiów Magisterskich Uniwersytetu Medycznego w Białymstoku</vt:lpstr>
    </vt:vector>
  </TitlesOfParts>
  <Company>Uniwesytet Medyczny w Bialymstoku</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Senatu w sprawie zmiany Regulaminu Studiów I Stopnia, II Stopnia oraz Jednolitych Studiów Magisterskich Uniwersytetu Medycznego w Białymstoku</dc:title>
  <dc:creator>UMB</dc:creator>
  <cp:lastModifiedBy>Emilia Snarska</cp:lastModifiedBy>
  <cp:revision>4</cp:revision>
  <cp:lastPrinted>2022-03-21T12:08:00Z</cp:lastPrinted>
  <dcterms:created xsi:type="dcterms:W3CDTF">2022-03-21T12:09:00Z</dcterms:created>
  <dcterms:modified xsi:type="dcterms:W3CDTF">2022-04-11T07:16:00Z</dcterms:modified>
</cp:coreProperties>
</file>