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6EF5" w14:textId="74553E52" w:rsidR="004D3013" w:rsidRPr="0076329A" w:rsidRDefault="00DC39D6" w:rsidP="00F43065">
      <w:pPr>
        <w:spacing w:after="0" w:line="360" w:lineRule="auto"/>
        <w:rPr>
          <w:rFonts w:eastAsia="Times New Roman" w:cs="Calibri"/>
          <w:b/>
          <w:sz w:val="24"/>
          <w:szCs w:val="24"/>
        </w:rPr>
      </w:pPr>
      <w:r>
        <w:rPr>
          <w:b/>
          <w:sz w:val="24"/>
        </w:rPr>
        <w:t>Resolution no.  245/2024</w:t>
      </w:r>
    </w:p>
    <w:p w14:paraId="6EA8905B" w14:textId="17909FC3" w:rsidR="004D3013" w:rsidRPr="0076329A" w:rsidRDefault="004D3013" w:rsidP="00F43065">
      <w:pPr>
        <w:spacing w:after="0" w:line="360" w:lineRule="auto"/>
        <w:rPr>
          <w:rFonts w:eastAsia="Times New Roman" w:cs="Calibri"/>
          <w:b/>
          <w:sz w:val="24"/>
          <w:szCs w:val="24"/>
        </w:rPr>
      </w:pPr>
      <w:r>
        <w:rPr>
          <w:b/>
          <w:sz w:val="24"/>
        </w:rPr>
        <w:t>of the Senate o</w:t>
      </w:r>
      <w:r w:rsidR="009F701D">
        <w:rPr>
          <w:b/>
          <w:sz w:val="24"/>
        </w:rPr>
        <w:t>f the Medical University of Bial</w:t>
      </w:r>
      <w:r>
        <w:rPr>
          <w:b/>
          <w:sz w:val="24"/>
        </w:rPr>
        <w:t>ystok</w:t>
      </w:r>
    </w:p>
    <w:p w14:paraId="53B6EDB7" w14:textId="423FD9FD" w:rsidR="0076329A" w:rsidRPr="0076329A" w:rsidRDefault="0047641B" w:rsidP="00F43065">
      <w:pPr>
        <w:spacing w:after="0" w:line="360" w:lineRule="auto"/>
        <w:rPr>
          <w:rFonts w:eastAsia="Times New Roman" w:cs="Calibri"/>
          <w:b/>
          <w:sz w:val="24"/>
          <w:szCs w:val="24"/>
        </w:rPr>
      </w:pPr>
      <w:r>
        <w:rPr>
          <w:b/>
          <w:sz w:val="24"/>
        </w:rPr>
        <w:t>from 28 November 2024</w:t>
      </w:r>
    </w:p>
    <w:p w14:paraId="2BCA6CA9" w14:textId="77777777" w:rsidR="0076329A" w:rsidRPr="0076329A" w:rsidRDefault="004D6B8B" w:rsidP="00F43065">
      <w:pPr>
        <w:spacing w:after="0" w:line="360" w:lineRule="auto"/>
        <w:rPr>
          <w:rFonts w:eastAsia="Times New Roman" w:cs="Calibri"/>
          <w:b/>
          <w:sz w:val="24"/>
          <w:szCs w:val="24"/>
        </w:rPr>
      </w:pPr>
      <w:r>
        <w:rPr>
          <w:b/>
          <w:sz w:val="24"/>
        </w:rPr>
        <w:t xml:space="preserve">on establishing the limit of admissions to the Doctoral School at the Medical University of </w:t>
      </w:r>
    </w:p>
    <w:p w14:paraId="0FB74772" w14:textId="6C4AB824" w:rsidR="0084231F" w:rsidRPr="0076329A" w:rsidRDefault="009F701D" w:rsidP="00F43065">
      <w:pPr>
        <w:spacing w:after="0" w:line="360" w:lineRule="auto"/>
        <w:rPr>
          <w:rFonts w:eastAsia="Times New Roman" w:cs="Calibri"/>
          <w:b/>
          <w:sz w:val="24"/>
          <w:szCs w:val="24"/>
        </w:rPr>
      </w:pPr>
      <w:r>
        <w:rPr>
          <w:b/>
          <w:sz w:val="24"/>
        </w:rPr>
        <w:t>Bial</w:t>
      </w:r>
      <w:r w:rsidR="0047641B">
        <w:rPr>
          <w:b/>
          <w:sz w:val="24"/>
        </w:rPr>
        <w:t>ystok in the academic year 2025/2026</w:t>
      </w:r>
    </w:p>
    <w:p w14:paraId="053C8ECC" w14:textId="143649AF" w:rsidR="00EE733E" w:rsidRPr="0076329A" w:rsidRDefault="009425D4" w:rsidP="00F43065">
      <w:pPr>
        <w:spacing w:before="360" w:after="360" w:line="360" w:lineRule="auto"/>
        <w:rPr>
          <w:rFonts w:cs="Calibri"/>
          <w:sz w:val="24"/>
          <w:szCs w:val="24"/>
        </w:rPr>
      </w:pPr>
      <w:r>
        <w:t xml:space="preserve">Pursuant to </w:t>
      </w:r>
      <w:r>
        <w:rPr>
          <w:sz w:val="24"/>
        </w:rPr>
        <w:t>§ 200 sec. 2 of the Act on Higher Education and Science from 20 July 2018</w:t>
      </w:r>
      <w:r>
        <w:t xml:space="preserve"> </w:t>
      </w:r>
      <w:r>
        <w:rPr>
          <w:rFonts w:asciiTheme="minorHAnsi" w:hAnsiTheme="minorHAnsi"/>
        </w:rPr>
        <w:t>(uniform</w:t>
      </w:r>
      <w:r>
        <w:t xml:space="preserve"> text</w:t>
      </w:r>
      <w:r>
        <w:rPr>
          <w:rFonts w:asciiTheme="minorHAnsi" w:hAnsiTheme="minorHAnsi"/>
        </w:rPr>
        <w:t xml:space="preserve"> Journal of Laws  from 2024, item 1571, as amended),</w:t>
      </w:r>
      <w:r>
        <w:t xml:space="preserve"> it is hereby </w:t>
      </w:r>
      <w:r w:rsidR="00182234">
        <w:t>resolved</w:t>
      </w:r>
      <w:r>
        <w:t xml:space="preserve"> as follows:</w:t>
      </w:r>
    </w:p>
    <w:p w14:paraId="7F3EEC4A" w14:textId="77777777" w:rsidR="00BF00AB" w:rsidRPr="0076329A" w:rsidRDefault="00BF00AB" w:rsidP="00F43065">
      <w:pPr>
        <w:pStyle w:val="Nagwek1"/>
        <w:rPr>
          <w:rFonts w:cs="Calibri"/>
        </w:rPr>
      </w:pPr>
      <w:r>
        <w:t>§ 1</w:t>
      </w:r>
    </w:p>
    <w:p w14:paraId="2BFBDE53" w14:textId="4FF4AEF3" w:rsidR="0047641B" w:rsidRPr="0076329A" w:rsidRDefault="00251BE2" w:rsidP="00F43065">
      <w:pPr>
        <w:spacing w:after="0" w:line="360" w:lineRule="auto"/>
        <w:rPr>
          <w:rFonts w:cs="Calibri"/>
          <w:sz w:val="24"/>
          <w:szCs w:val="24"/>
        </w:rPr>
      </w:pPr>
      <w:r>
        <w:rPr>
          <w:sz w:val="24"/>
        </w:rPr>
        <w:t xml:space="preserve">The Senate establishes the limits of admissions for individual educational </w:t>
      </w:r>
      <w:r w:rsidR="00A87FA4">
        <w:rPr>
          <w:sz w:val="24"/>
        </w:rPr>
        <w:t>paths</w:t>
      </w:r>
      <w:r>
        <w:rPr>
          <w:sz w:val="24"/>
        </w:rPr>
        <w:t xml:space="preserve"> at the Doctoral School o</w:t>
      </w:r>
      <w:r w:rsidR="009F701D">
        <w:rPr>
          <w:sz w:val="24"/>
        </w:rPr>
        <w:t>f the Medical University of Bial</w:t>
      </w:r>
      <w:r>
        <w:rPr>
          <w:sz w:val="24"/>
        </w:rPr>
        <w:t xml:space="preserve">ystok in the field of medical and health sciences in the number of 52 vacancies, including: </w:t>
      </w:r>
    </w:p>
    <w:p w14:paraId="788CF156" w14:textId="0B8D2C76" w:rsidR="0047641B" w:rsidRPr="0076329A" w:rsidRDefault="0047641B" w:rsidP="00F43065">
      <w:pPr>
        <w:numPr>
          <w:ilvl w:val="0"/>
          <w:numId w:val="6"/>
        </w:numPr>
        <w:spacing w:after="0" w:line="360" w:lineRule="auto"/>
        <w:ind w:left="426"/>
        <w:rPr>
          <w:rFonts w:cs="Calibri"/>
          <w:sz w:val="24"/>
          <w:szCs w:val="24"/>
        </w:rPr>
      </w:pPr>
      <w:r>
        <w:rPr>
          <w:sz w:val="24"/>
        </w:rPr>
        <w:t>pharmaceutical sciences - 6 vacancies,</w:t>
      </w:r>
    </w:p>
    <w:p w14:paraId="5213729E" w14:textId="786C8926" w:rsidR="0047641B" w:rsidRPr="0076329A" w:rsidRDefault="0047641B" w:rsidP="00F43065">
      <w:pPr>
        <w:numPr>
          <w:ilvl w:val="0"/>
          <w:numId w:val="6"/>
        </w:numPr>
        <w:spacing w:after="0" w:line="360" w:lineRule="auto"/>
        <w:ind w:left="426"/>
        <w:rPr>
          <w:rFonts w:cs="Calibri"/>
          <w:sz w:val="24"/>
          <w:szCs w:val="24"/>
        </w:rPr>
      </w:pPr>
      <w:r>
        <w:rPr>
          <w:sz w:val="24"/>
        </w:rPr>
        <w:t>medical sciences - 28 vacancies,</w:t>
      </w:r>
    </w:p>
    <w:p w14:paraId="4F20F356" w14:textId="76D66A6B" w:rsidR="0047641B" w:rsidRDefault="0047641B" w:rsidP="000D1BE1">
      <w:pPr>
        <w:numPr>
          <w:ilvl w:val="0"/>
          <w:numId w:val="6"/>
        </w:numPr>
        <w:spacing w:after="0" w:line="360" w:lineRule="auto"/>
        <w:ind w:left="426"/>
        <w:rPr>
          <w:rFonts w:cs="Calibri"/>
          <w:sz w:val="24"/>
          <w:szCs w:val="24"/>
        </w:rPr>
      </w:pPr>
      <w:r>
        <w:rPr>
          <w:sz w:val="24"/>
        </w:rPr>
        <w:t>health  sciences - 6 vacancies,</w:t>
      </w:r>
    </w:p>
    <w:p w14:paraId="22484056" w14:textId="365C34E5" w:rsidR="000D1BE1" w:rsidRPr="008001C5" w:rsidRDefault="000D1BE1" w:rsidP="008001C5">
      <w:pPr>
        <w:numPr>
          <w:ilvl w:val="0"/>
          <w:numId w:val="6"/>
        </w:numPr>
        <w:spacing w:after="0" w:line="360" w:lineRule="auto"/>
        <w:ind w:left="426"/>
        <w:rPr>
          <w:rFonts w:cs="Calibri"/>
          <w:sz w:val="24"/>
          <w:szCs w:val="24"/>
        </w:rPr>
      </w:pPr>
      <w:r>
        <w:rPr>
          <w:sz w:val="24"/>
        </w:rPr>
        <w:t xml:space="preserve">international </w:t>
      </w:r>
      <w:r w:rsidR="00A87FA4">
        <w:rPr>
          <w:sz w:val="24"/>
        </w:rPr>
        <w:t>path</w:t>
      </w:r>
      <w:r>
        <w:rPr>
          <w:sz w:val="24"/>
        </w:rPr>
        <w:t xml:space="preserve"> (medical sciences ) - 12 </w:t>
      </w:r>
      <w:r w:rsidR="00182234">
        <w:rPr>
          <w:sz w:val="24"/>
        </w:rPr>
        <w:t>vacancies</w:t>
      </w:r>
      <w:r>
        <w:rPr>
          <w:sz w:val="24"/>
        </w:rPr>
        <w:t>.</w:t>
      </w:r>
    </w:p>
    <w:p w14:paraId="3E23FF36" w14:textId="77777777" w:rsidR="00280E41" w:rsidRPr="0076329A" w:rsidRDefault="00280E41" w:rsidP="00F43065">
      <w:pPr>
        <w:pStyle w:val="Nagwek1"/>
        <w:rPr>
          <w:rFonts w:cs="Calibri"/>
        </w:rPr>
      </w:pPr>
      <w:r>
        <w:t>§ 2</w:t>
      </w:r>
    </w:p>
    <w:p w14:paraId="060293B6" w14:textId="1059923D" w:rsidR="007E5F4A" w:rsidRPr="0076329A" w:rsidRDefault="007E5F4A" w:rsidP="008001C5">
      <w:pPr>
        <w:spacing w:after="100" w:line="360" w:lineRule="auto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In case of non-exhaustion of the limit of vacancies as part of the educational </w:t>
      </w:r>
      <w:r w:rsidR="00A87FA4">
        <w:rPr>
          <w:sz w:val="24"/>
        </w:rPr>
        <w:t>path</w:t>
      </w:r>
      <w:r>
        <w:rPr>
          <w:sz w:val="24"/>
        </w:rPr>
        <w:t>, the Director of the Doctoral School shall be authorized, in agreement with the Vice-</w:t>
      </w:r>
      <w:r w:rsidR="00182234">
        <w:rPr>
          <w:sz w:val="24"/>
        </w:rPr>
        <w:t>Rector</w:t>
      </w:r>
      <w:r>
        <w:rPr>
          <w:sz w:val="24"/>
        </w:rPr>
        <w:t xml:space="preserve"> for Education, to change the limits of admissions in a given </w:t>
      </w:r>
      <w:r w:rsidR="00A87FA4">
        <w:rPr>
          <w:sz w:val="24"/>
        </w:rPr>
        <w:t>path</w:t>
      </w:r>
      <w:r>
        <w:rPr>
          <w:sz w:val="24"/>
        </w:rPr>
        <w:t xml:space="preserve"> of education as part of the general number of vacancies specified within the hereby Resolution.</w:t>
      </w:r>
    </w:p>
    <w:p w14:paraId="2BE95F78" w14:textId="77777777" w:rsidR="007E5F4A" w:rsidRPr="0076329A" w:rsidRDefault="007E5F4A" w:rsidP="00F43065">
      <w:pPr>
        <w:pStyle w:val="Nagwek1"/>
        <w:rPr>
          <w:rFonts w:cs="Calibri"/>
        </w:rPr>
      </w:pPr>
      <w:r>
        <w:t>§ 3</w:t>
      </w:r>
    </w:p>
    <w:p w14:paraId="33005AD5" w14:textId="4B9767EF" w:rsidR="00976E38" w:rsidRPr="0076329A" w:rsidRDefault="007E5F4A" w:rsidP="008001C5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sz w:val="24"/>
        </w:rPr>
        <w:t xml:space="preserve">In justified cases, the Vice-Rector for Education, upon motion submitted by the Director of the Doctoral School is authorized to </w:t>
      </w:r>
      <w:r w:rsidR="00182234">
        <w:rPr>
          <w:sz w:val="24"/>
        </w:rPr>
        <w:t>increase</w:t>
      </w:r>
      <w:r>
        <w:rPr>
          <w:sz w:val="24"/>
        </w:rPr>
        <w:t xml:space="preserve"> the limit of vacancies in the Doctoral School specified in § 1  of the Resolution by a maximum of 12%.</w:t>
      </w:r>
    </w:p>
    <w:p w14:paraId="2FA967DC" w14:textId="77777777" w:rsidR="00976E38" w:rsidRPr="0076329A" w:rsidRDefault="00976E38" w:rsidP="00F43065">
      <w:pPr>
        <w:pStyle w:val="Nagwek1"/>
        <w:rPr>
          <w:rFonts w:cs="Calibri"/>
        </w:rPr>
      </w:pPr>
      <w:r>
        <w:t>§ 4</w:t>
      </w:r>
    </w:p>
    <w:p w14:paraId="11022B88" w14:textId="77777777" w:rsidR="000151C0" w:rsidRPr="0076329A" w:rsidRDefault="00280E41" w:rsidP="00F43065">
      <w:pPr>
        <w:spacing w:after="400" w:line="360" w:lineRule="auto"/>
        <w:rPr>
          <w:rFonts w:cs="Calibri"/>
          <w:sz w:val="24"/>
          <w:szCs w:val="24"/>
        </w:rPr>
      </w:pPr>
      <w:r>
        <w:rPr>
          <w:sz w:val="24"/>
        </w:rPr>
        <w:t>The Resolution enters into force on the day of its adopting.</w:t>
      </w:r>
    </w:p>
    <w:p w14:paraId="1B4CB442" w14:textId="77777777" w:rsidR="00674DF2" w:rsidRPr="0076329A" w:rsidRDefault="00674DF2" w:rsidP="00F43065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b/>
          <w:sz w:val="24"/>
        </w:rPr>
        <w:t>Chairman of the Senate</w:t>
      </w:r>
    </w:p>
    <w:p w14:paraId="68AC1620" w14:textId="77777777" w:rsidR="00674DF2" w:rsidRPr="0076329A" w:rsidRDefault="00674DF2" w:rsidP="00F43065">
      <w:pPr>
        <w:spacing w:line="360" w:lineRule="auto"/>
        <w:rPr>
          <w:rFonts w:cs="Calibri"/>
          <w:b/>
          <w:sz w:val="24"/>
          <w:szCs w:val="24"/>
        </w:rPr>
      </w:pPr>
      <w:r>
        <w:rPr>
          <w:b/>
          <w:sz w:val="24"/>
        </w:rPr>
        <w:t>Rector</w:t>
      </w:r>
    </w:p>
    <w:p w14:paraId="2CD9B4C6" w14:textId="2D99757D" w:rsidR="0084231F" w:rsidRPr="0076329A" w:rsidRDefault="00674DF2" w:rsidP="00F43065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b/>
          <w:sz w:val="24"/>
        </w:rPr>
        <w:t xml:space="preserve">prof. </w:t>
      </w:r>
      <w:proofErr w:type="spellStart"/>
      <w:r>
        <w:rPr>
          <w:b/>
          <w:sz w:val="24"/>
        </w:rPr>
        <w:t>dr</w:t>
      </w:r>
      <w:proofErr w:type="spellEnd"/>
      <w:r>
        <w:rPr>
          <w:b/>
          <w:sz w:val="24"/>
        </w:rPr>
        <w:t xml:space="preserve"> hab. Marcin Moniuszko</w:t>
      </w:r>
    </w:p>
    <w:sectPr w:rsidR="0084231F" w:rsidRPr="0076329A" w:rsidSect="008C45BD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DF36" w14:textId="77777777" w:rsidR="006F4B50" w:rsidRDefault="006F4B50" w:rsidP="008001C5">
      <w:pPr>
        <w:spacing w:after="0" w:line="240" w:lineRule="auto"/>
      </w:pPr>
      <w:r>
        <w:separator/>
      </w:r>
    </w:p>
  </w:endnote>
  <w:endnote w:type="continuationSeparator" w:id="0">
    <w:p w14:paraId="17043417" w14:textId="77777777" w:rsidR="006F4B50" w:rsidRDefault="006F4B50" w:rsidP="0080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E0F3" w14:textId="77777777" w:rsidR="006F4B50" w:rsidRDefault="006F4B50" w:rsidP="008001C5">
      <w:pPr>
        <w:spacing w:after="0" w:line="240" w:lineRule="auto"/>
      </w:pPr>
      <w:r>
        <w:separator/>
      </w:r>
    </w:p>
  </w:footnote>
  <w:footnote w:type="continuationSeparator" w:id="0">
    <w:p w14:paraId="17E3F344" w14:textId="77777777" w:rsidR="006F4B50" w:rsidRDefault="006F4B50" w:rsidP="0080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6C9E"/>
    <w:multiLevelType w:val="hybridMultilevel"/>
    <w:tmpl w:val="60F07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223E"/>
    <w:multiLevelType w:val="hybridMultilevel"/>
    <w:tmpl w:val="9D56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D150D"/>
    <w:multiLevelType w:val="hybridMultilevel"/>
    <w:tmpl w:val="7EDAD3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C099C"/>
    <w:multiLevelType w:val="hybridMultilevel"/>
    <w:tmpl w:val="BA98D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03E6E"/>
    <w:multiLevelType w:val="hybridMultilevel"/>
    <w:tmpl w:val="A0324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30394"/>
    <w:multiLevelType w:val="hybridMultilevel"/>
    <w:tmpl w:val="D3BA03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1F"/>
    <w:rsid w:val="00011915"/>
    <w:rsid w:val="000151C0"/>
    <w:rsid w:val="00024B72"/>
    <w:rsid w:val="00030A5A"/>
    <w:rsid w:val="000354B6"/>
    <w:rsid w:val="00073AB6"/>
    <w:rsid w:val="00074088"/>
    <w:rsid w:val="000821FC"/>
    <w:rsid w:val="00087908"/>
    <w:rsid w:val="000A188C"/>
    <w:rsid w:val="000B42DB"/>
    <w:rsid w:val="000D1BE1"/>
    <w:rsid w:val="000D2E51"/>
    <w:rsid w:val="000E3309"/>
    <w:rsid w:val="00103BA7"/>
    <w:rsid w:val="001159E0"/>
    <w:rsid w:val="00116AEB"/>
    <w:rsid w:val="00137346"/>
    <w:rsid w:val="00137FF6"/>
    <w:rsid w:val="001403E5"/>
    <w:rsid w:val="001455E4"/>
    <w:rsid w:val="001600C6"/>
    <w:rsid w:val="00182234"/>
    <w:rsid w:val="001953A0"/>
    <w:rsid w:val="001B2FC4"/>
    <w:rsid w:val="001E14F1"/>
    <w:rsid w:val="001E3898"/>
    <w:rsid w:val="001F2E5F"/>
    <w:rsid w:val="00210347"/>
    <w:rsid w:val="00247B5E"/>
    <w:rsid w:val="00251BE2"/>
    <w:rsid w:val="00280780"/>
    <w:rsid w:val="00280E41"/>
    <w:rsid w:val="002B198E"/>
    <w:rsid w:val="002B7E59"/>
    <w:rsid w:val="002F68D9"/>
    <w:rsid w:val="00350CCF"/>
    <w:rsid w:val="00382932"/>
    <w:rsid w:val="00387FFE"/>
    <w:rsid w:val="00393C5C"/>
    <w:rsid w:val="003B7966"/>
    <w:rsid w:val="003E0FF4"/>
    <w:rsid w:val="004005E9"/>
    <w:rsid w:val="0041557B"/>
    <w:rsid w:val="00417370"/>
    <w:rsid w:val="00433D36"/>
    <w:rsid w:val="00455437"/>
    <w:rsid w:val="00461358"/>
    <w:rsid w:val="00463756"/>
    <w:rsid w:val="0047641B"/>
    <w:rsid w:val="00487DAB"/>
    <w:rsid w:val="004B7B1B"/>
    <w:rsid w:val="004D3013"/>
    <w:rsid w:val="004D6B8B"/>
    <w:rsid w:val="00525F86"/>
    <w:rsid w:val="005335C1"/>
    <w:rsid w:val="00576CAE"/>
    <w:rsid w:val="00595A3E"/>
    <w:rsid w:val="005C2972"/>
    <w:rsid w:val="005E49A0"/>
    <w:rsid w:val="005F643A"/>
    <w:rsid w:val="00635259"/>
    <w:rsid w:val="0065373F"/>
    <w:rsid w:val="00671428"/>
    <w:rsid w:val="00674DF2"/>
    <w:rsid w:val="00682DB6"/>
    <w:rsid w:val="00690CFB"/>
    <w:rsid w:val="006A6791"/>
    <w:rsid w:val="006C709D"/>
    <w:rsid w:val="006D093F"/>
    <w:rsid w:val="006F4B50"/>
    <w:rsid w:val="00705AB1"/>
    <w:rsid w:val="00710119"/>
    <w:rsid w:val="00710C1B"/>
    <w:rsid w:val="007127BA"/>
    <w:rsid w:val="00727A1F"/>
    <w:rsid w:val="00731F16"/>
    <w:rsid w:val="0076329A"/>
    <w:rsid w:val="007642C0"/>
    <w:rsid w:val="00787803"/>
    <w:rsid w:val="007965B9"/>
    <w:rsid w:val="007C6FE9"/>
    <w:rsid w:val="007D1FFE"/>
    <w:rsid w:val="007E5F4A"/>
    <w:rsid w:val="008001C5"/>
    <w:rsid w:val="008159F7"/>
    <w:rsid w:val="0084231F"/>
    <w:rsid w:val="008472C7"/>
    <w:rsid w:val="00852CAE"/>
    <w:rsid w:val="00861847"/>
    <w:rsid w:val="00893A6A"/>
    <w:rsid w:val="008C45BD"/>
    <w:rsid w:val="008D2775"/>
    <w:rsid w:val="008F143D"/>
    <w:rsid w:val="00906B41"/>
    <w:rsid w:val="009271CC"/>
    <w:rsid w:val="0094169D"/>
    <w:rsid w:val="009425D4"/>
    <w:rsid w:val="00942A25"/>
    <w:rsid w:val="009724B3"/>
    <w:rsid w:val="00976E38"/>
    <w:rsid w:val="009C32F8"/>
    <w:rsid w:val="009D2E29"/>
    <w:rsid w:val="009D68A5"/>
    <w:rsid w:val="009F701D"/>
    <w:rsid w:val="00A2290F"/>
    <w:rsid w:val="00A34064"/>
    <w:rsid w:val="00A47749"/>
    <w:rsid w:val="00A87FA4"/>
    <w:rsid w:val="00AA7DDC"/>
    <w:rsid w:val="00AC39B7"/>
    <w:rsid w:val="00AD4334"/>
    <w:rsid w:val="00AD7B19"/>
    <w:rsid w:val="00B12DE6"/>
    <w:rsid w:val="00B22FA1"/>
    <w:rsid w:val="00B515DC"/>
    <w:rsid w:val="00B67EF1"/>
    <w:rsid w:val="00B96F6A"/>
    <w:rsid w:val="00BA4A75"/>
    <w:rsid w:val="00BC562B"/>
    <w:rsid w:val="00BD0E29"/>
    <w:rsid w:val="00BF00AB"/>
    <w:rsid w:val="00C0584B"/>
    <w:rsid w:val="00C06F26"/>
    <w:rsid w:val="00C32EA6"/>
    <w:rsid w:val="00C520E2"/>
    <w:rsid w:val="00C74C75"/>
    <w:rsid w:val="00C77B23"/>
    <w:rsid w:val="00C94562"/>
    <w:rsid w:val="00C971ED"/>
    <w:rsid w:val="00CE7E4A"/>
    <w:rsid w:val="00CF4577"/>
    <w:rsid w:val="00CF6BEB"/>
    <w:rsid w:val="00D553A7"/>
    <w:rsid w:val="00D605D5"/>
    <w:rsid w:val="00DB26F3"/>
    <w:rsid w:val="00DC39D6"/>
    <w:rsid w:val="00DC3E03"/>
    <w:rsid w:val="00DD417D"/>
    <w:rsid w:val="00E421A4"/>
    <w:rsid w:val="00E46F14"/>
    <w:rsid w:val="00EA5CA6"/>
    <w:rsid w:val="00EE733E"/>
    <w:rsid w:val="00F0643A"/>
    <w:rsid w:val="00F102DB"/>
    <w:rsid w:val="00F16C96"/>
    <w:rsid w:val="00F43065"/>
    <w:rsid w:val="00F4488E"/>
    <w:rsid w:val="00F50815"/>
    <w:rsid w:val="00F660C3"/>
    <w:rsid w:val="00F84957"/>
    <w:rsid w:val="00FC2B74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6142"/>
  <w15:docId w15:val="{10EB20FB-3803-4F4E-871B-12CD21D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E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29A"/>
    <w:pPr>
      <w:spacing w:after="0" w:line="360" w:lineRule="auto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45BD"/>
    <w:pPr>
      <w:spacing w:after="0" w:line="360" w:lineRule="auto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5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4231F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4231F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6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D301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DC3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E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3E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E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3E03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329A"/>
    <w:rPr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5B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g-binding">
    <w:name w:val="ng-binding"/>
    <w:rsid w:val="008C45BD"/>
  </w:style>
  <w:style w:type="character" w:customStyle="1" w:styleId="ng-scope">
    <w:name w:val="ng-scope"/>
    <w:rsid w:val="008C45BD"/>
  </w:style>
  <w:style w:type="character" w:customStyle="1" w:styleId="Nagwek2Znak">
    <w:name w:val="Nagłówek 2 Znak"/>
    <w:basedOn w:val="Domylnaczcionkaakapitu"/>
    <w:link w:val="Nagwek2"/>
    <w:uiPriority w:val="9"/>
    <w:rsid w:val="008C45BD"/>
    <w:rPr>
      <w:sz w:val="22"/>
      <w:szCs w:val="22"/>
      <w:lang w:eastAsia="en-US"/>
    </w:rPr>
  </w:style>
  <w:style w:type="paragraph" w:customStyle="1" w:styleId="Default">
    <w:name w:val="Default"/>
    <w:rsid w:val="008C45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1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0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1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245/2024 Senatu UMB w sprawie ustalenia limitu przyjęć do Szkoły Doktorskiej w Uniwersytecie Medycznym w Białymstoku na rok akademicki 2025/2026</vt:lpstr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245/2024 on establishing the limit of admissions to the Doctoral School at the MUB</dc:title>
  <dc:creator>Adam Raczyński</dc:creator>
  <cp:lastModifiedBy>Emilia Snarska</cp:lastModifiedBy>
  <cp:revision>11</cp:revision>
  <cp:lastPrinted>2024-11-29T12:38:00Z</cp:lastPrinted>
  <dcterms:created xsi:type="dcterms:W3CDTF">2024-11-29T12:39:00Z</dcterms:created>
  <dcterms:modified xsi:type="dcterms:W3CDTF">2025-01-10T08:40:00Z</dcterms:modified>
</cp:coreProperties>
</file>