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82A1" w14:textId="35825486" w:rsidR="00AF60FA" w:rsidRPr="00761151" w:rsidRDefault="00D0139E" w:rsidP="002D436A">
      <w:pPr>
        <w:spacing w:line="336" w:lineRule="auto"/>
        <w:rPr>
          <w:rFonts w:cstheme="minorHAnsi"/>
          <w:b/>
          <w:sz w:val="23"/>
          <w:szCs w:val="23"/>
        </w:rPr>
      </w:pPr>
      <w:r>
        <w:rPr>
          <w:b/>
          <w:sz w:val="23"/>
        </w:rPr>
        <w:t>Order</w:t>
      </w:r>
      <w:r w:rsidR="007E1043">
        <w:rPr>
          <w:b/>
          <w:sz w:val="23"/>
        </w:rPr>
        <w:t xml:space="preserve"> no. 115/2023</w:t>
      </w:r>
      <w:r w:rsidR="007E1043">
        <w:rPr>
          <w:b/>
          <w:sz w:val="23"/>
        </w:rPr>
        <w:br/>
        <w:t>of the Medical University of Bialystok Rector dated</w:t>
      </w:r>
      <w:r w:rsidR="007E1043">
        <w:rPr>
          <w:b/>
          <w:sz w:val="23"/>
        </w:rPr>
        <w:br/>
        <w:t>17.11.2023</w:t>
      </w:r>
      <w:r w:rsidR="007E1043">
        <w:rPr>
          <w:b/>
          <w:sz w:val="23"/>
        </w:rPr>
        <w:br/>
        <w:t xml:space="preserve">introducing the </w:t>
      </w:r>
      <w:r>
        <w:rPr>
          <w:b/>
          <w:sz w:val="23"/>
        </w:rPr>
        <w:t>Regulations</w:t>
      </w:r>
      <w:r w:rsidR="007E1043">
        <w:rPr>
          <w:b/>
          <w:sz w:val="23"/>
        </w:rPr>
        <w:t xml:space="preserve"> concerning the principles of co-financing the purchase of access to educational platforms designated to prepare for the Final Medical Examination or the Final Medical-Dental Examination at the Medical University of Bialystok, binding in the academic year 2023/2024</w:t>
      </w:r>
    </w:p>
    <w:p w14:paraId="594754EB" w14:textId="6E6A0CC1" w:rsidR="007E1043" w:rsidRPr="00761151" w:rsidRDefault="007E1043" w:rsidP="002D436A">
      <w:pPr>
        <w:spacing w:after="0" w:line="336" w:lineRule="auto"/>
        <w:rPr>
          <w:rFonts w:cstheme="minorHAnsi"/>
          <w:sz w:val="23"/>
          <w:szCs w:val="23"/>
        </w:rPr>
      </w:pPr>
      <w:r>
        <w:rPr>
          <w:sz w:val="23"/>
        </w:rPr>
        <w:t xml:space="preserve">Pursuant to Art. 23 (2) (2) (10) of the Act on Higher Education and Science from 20 July 2018 (i.e., Journal of Laws from 2023, item 742 as amended) and § 99 (4) and (5) of the Statute in place at the Medical University of Bialystok and </w:t>
      </w:r>
      <w:r w:rsidR="00D0139E">
        <w:rPr>
          <w:sz w:val="23"/>
        </w:rPr>
        <w:t>Order</w:t>
      </w:r>
      <w:r>
        <w:rPr>
          <w:sz w:val="23"/>
        </w:rPr>
        <w:t xml:space="preserve"> no. 148/2021  of the Medical University of Bialystok Rector dated 22.12.2021 concerning the </w:t>
      </w:r>
      <w:r w:rsidR="00D0139E">
        <w:rPr>
          <w:sz w:val="23"/>
        </w:rPr>
        <w:t>Regulations</w:t>
      </w:r>
      <w:r>
        <w:rPr>
          <w:sz w:val="23"/>
        </w:rPr>
        <w:t xml:space="preserve"> of Internal Development Fund at the Medical University of Bialystok, out of concern to ensure optimum conditions of the didactic process I hereby establish the following rules of allocation of co-financing the purchase of access to educational platforms designated to prepare for the Final Medical Examination and the Final Medical-Dental Examination and I order as follows:</w:t>
      </w:r>
    </w:p>
    <w:p w14:paraId="2091B415" w14:textId="77777777" w:rsidR="005E5278" w:rsidRPr="00761151" w:rsidRDefault="005E5278" w:rsidP="008D69E8">
      <w:pPr>
        <w:pStyle w:val="Nagwek1"/>
      </w:pPr>
      <w:r>
        <w:t xml:space="preserve">§ 1 </w:t>
      </w:r>
    </w:p>
    <w:p w14:paraId="10B65503" w14:textId="44E6820B" w:rsidR="005E5278" w:rsidRPr="00761151" w:rsidRDefault="005E5278" w:rsidP="002D436A">
      <w:pPr>
        <w:pStyle w:val="Akapitzlist"/>
        <w:numPr>
          <w:ilvl w:val="0"/>
          <w:numId w:val="1"/>
        </w:numPr>
        <w:spacing w:after="0" w:line="336" w:lineRule="auto"/>
        <w:rPr>
          <w:rFonts w:cstheme="minorHAnsi"/>
          <w:sz w:val="23"/>
          <w:szCs w:val="23"/>
        </w:rPr>
      </w:pPr>
      <w:r>
        <w:rPr>
          <w:sz w:val="23"/>
        </w:rPr>
        <w:t xml:space="preserve">In the academic year 2023/2024, students of full-time studies and part-time studies of the medical-dental </w:t>
      </w:r>
      <w:r w:rsidR="00E866E6">
        <w:rPr>
          <w:sz w:val="23"/>
        </w:rPr>
        <w:t>program</w:t>
      </w:r>
      <w:r>
        <w:rPr>
          <w:sz w:val="23"/>
        </w:rPr>
        <w:t xml:space="preserve"> – V year of studies; medical </w:t>
      </w:r>
      <w:r w:rsidR="00E866E6">
        <w:rPr>
          <w:sz w:val="23"/>
        </w:rPr>
        <w:t>program</w:t>
      </w:r>
      <w:r>
        <w:rPr>
          <w:sz w:val="23"/>
        </w:rPr>
        <w:t xml:space="preserve">  – IV year of studies and English Division</w:t>
      </w:r>
      <w:r w:rsidR="00E866E6">
        <w:rPr>
          <w:sz w:val="23"/>
        </w:rPr>
        <w:t xml:space="preserve"> medical program</w:t>
      </w:r>
      <w:r>
        <w:rPr>
          <w:sz w:val="23"/>
        </w:rPr>
        <w:t xml:space="preserve">  – IV year of studies may apply for co-financing for the purchase of access to educational platforms designated to prepare for the Final Medical Examination and the Final Medical-Dental Examination  (access to the platform).</w:t>
      </w:r>
    </w:p>
    <w:p w14:paraId="3DE7FD3A" w14:textId="07279E16" w:rsidR="005E5278" w:rsidRPr="00761151" w:rsidRDefault="005E5278" w:rsidP="002D436A">
      <w:pPr>
        <w:pStyle w:val="Akapitzlist"/>
        <w:numPr>
          <w:ilvl w:val="0"/>
          <w:numId w:val="1"/>
        </w:numPr>
        <w:spacing w:after="0" w:line="336" w:lineRule="auto"/>
        <w:rPr>
          <w:rFonts w:cstheme="minorHAnsi"/>
          <w:sz w:val="23"/>
          <w:szCs w:val="23"/>
        </w:rPr>
      </w:pPr>
      <w:r>
        <w:rPr>
          <w:sz w:val="23"/>
        </w:rPr>
        <w:t>Condition for obtaining of funding is the purchase  by the student of access to the platform in the academic year 2023/2024  for a period covering at least part of the academic year 2023/2024.</w:t>
      </w:r>
    </w:p>
    <w:p w14:paraId="07EA6933" w14:textId="77777777" w:rsidR="00795785" w:rsidRPr="00761151" w:rsidRDefault="00795785" w:rsidP="008D69E8">
      <w:pPr>
        <w:pStyle w:val="Akapitzlist"/>
        <w:numPr>
          <w:ilvl w:val="0"/>
          <w:numId w:val="1"/>
        </w:numPr>
        <w:spacing w:after="0" w:line="336" w:lineRule="auto"/>
        <w:rPr>
          <w:rFonts w:cstheme="minorHAnsi"/>
          <w:sz w:val="23"/>
          <w:szCs w:val="23"/>
        </w:rPr>
      </w:pPr>
      <w:r>
        <w:rPr>
          <w:sz w:val="23"/>
        </w:rPr>
        <w:t>Co-financing of access to the platform shall amount to 500 PLN gross as a maximum, however, it shall not exceed the amount actually incurred for the purchase of access.</w:t>
      </w:r>
    </w:p>
    <w:p w14:paraId="46D275CF" w14:textId="109C6F7A" w:rsidR="00795785" w:rsidRPr="00761151" w:rsidRDefault="00795785" w:rsidP="008D69E8">
      <w:pPr>
        <w:pStyle w:val="Akapitzlist"/>
        <w:numPr>
          <w:ilvl w:val="0"/>
          <w:numId w:val="1"/>
        </w:numPr>
        <w:spacing w:after="0" w:line="336" w:lineRule="auto"/>
        <w:rPr>
          <w:rFonts w:cstheme="minorHAnsi"/>
          <w:sz w:val="23"/>
          <w:szCs w:val="23"/>
        </w:rPr>
      </w:pPr>
      <w:r>
        <w:rPr>
          <w:sz w:val="23"/>
        </w:rPr>
        <w:t>Obtaining co-financing shall constitute student’s revenue.</w:t>
      </w:r>
    </w:p>
    <w:p w14:paraId="5C6D64AC" w14:textId="0D8CCA1E" w:rsidR="00916D0A" w:rsidRPr="00761151" w:rsidRDefault="00916D0A" w:rsidP="008D69E8">
      <w:pPr>
        <w:pStyle w:val="Akapitzlist"/>
        <w:numPr>
          <w:ilvl w:val="0"/>
          <w:numId w:val="1"/>
        </w:numPr>
        <w:spacing w:after="0" w:line="336" w:lineRule="auto"/>
        <w:rPr>
          <w:rFonts w:cstheme="minorHAnsi"/>
          <w:sz w:val="23"/>
          <w:szCs w:val="23"/>
        </w:rPr>
      </w:pPr>
      <w:r>
        <w:rPr>
          <w:sz w:val="23"/>
        </w:rPr>
        <w:t>In the course of studies, co-</w:t>
      </w:r>
      <w:r w:rsidR="0035596B">
        <w:rPr>
          <w:sz w:val="23"/>
        </w:rPr>
        <w:t>financing</w:t>
      </w:r>
      <w:r>
        <w:rPr>
          <w:sz w:val="23"/>
        </w:rPr>
        <w:t xml:space="preserve"> may be applied once.</w:t>
      </w:r>
    </w:p>
    <w:p w14:paraId="12FE6D74" w14:textId="77777777" w:rsidR="00795785" w:rsidRPr="00761151" w:rsidRDefault="00795785" w:rsidP="008D69E8">
      <w:pPr>
        <w:pStyle w:val="Nagwek1"/>
      </w:pPr>
      <w:r>
        <w:t>§ 2</w:t>
      </w:r>
    </w:p>
    <w:p w14:paraId="45B9BA28" w14:textId="521DE446" w:rsidR="00795785" w:rsidRPr="00761151" w:rsidRDefault="00795785" w:rsidP="008D69E8">
      <w:pPr>
        <w:pStyle w:val="Akapitzlist"/>
        <w:numPr>
          <w:ilvl w:val="0"/>
          <w:numId w:val="8"/>
        </w:numPr>
        <w:spacing w:after="0" w:line="336" w:lineRule="auto"/>
        <w:ind w:left="709"/>
        <w:rPr>
          <w:b/>
          <w:bCs/>
          <w:sz w:val="23"/>
          <w:szCs w:val="23"/>
        </w:rPr>
      </w:pPr>
      <w:r>
        <w:rPr>
          <w:sz w:val="23"/>
        </w:rPr>
        <w:t>In order to obtain co-</w:t>
      </w:r>
      <w:r w:rsidR="0035596B">
        <w:rPr>
          <w:sz w:val="23"/>
        </w:rPr>
        <w:t>financing</w:t>
      </w:r>
      <w:r>
        <w:rPr>
          <w:sz w:val="23"/>
        </w:rPr>
        <w:t xml:space="preserve"> the student shall be obliged to submit, until 30 April 2024, an application for co-financing and an invoice/invoices or an alternative proof of purchase confirming obtaining paid access, indicating date of purchase of access and price at the Dean’s Office of the </w:t>
      </w:r>
      <w:r w:rsidR="0060204D">
        <w:rPr>
          <w:sz w:val="23"/>
        </w:rPr>
        <w:t>Faculty of Medicine with the Division of Dentistry and Division of Medical Education in English</w:t>
      </w:r>
      <w:r>
        <w:rPr>
          <w:sz w:val="23"/>
        </w:rPr>
        <w:t xml:space="preserve"> during office hours of the Dean’s Office. </w:t>
      </w:r>
    </w:p>
    <w:p w14:paraId="01276129" w14:textId="55F1BF7C" w:rsidR="00A8449C" w:rsidRPr="00761151" w:rsidRDefault="00795785" w:rsidP="008D69E8">
      <w:pPr>
        <w:pStyle w:val="Akapitzlist"/>
        <w:numPr>
          <w:ilvl w:val="0"/>
          <w:numId w:val="8"/>
        </w:numPr>
        <w:spacing w:after="0" w:line="336" w:lineRule="auto"/>
        <w:ind w:left="709"/>
        <w:rPr>
          <w:b/>
          <w:bCs/>
          <w:sz w:val="23"/>
          <w:szCs w:val="23"/>
        </w:rPr>
      </w:pPr>
      <w:r>
        <w:rPr>
          <w:sz w:val="23"/>
        </w:rPr>
        <w:lastRenderedPageBreak/>
        <w:t xml:space="preserve">Co-financing application form template </w:t>
      </w:r>
      <w:r w:rsidRPr="0035596B">
        <w:rPr>
          <w:sz w:val="23"/>
        </w:rPr>
        <w:t>constitutes Appendix no. 1 to</w:t>
      </w:r>
      <w:r>
        <w:rPr>
          <w:sz w:val="23"/>
        </w:rPr>
        <w:t xml:space="preserve"> the hereby </w:t>
      </w:r>
      <w:r w:rsidR="00D0139E">
        <w:rPr>
          <w:sz w:val="23"/>
        </w:rPr>
        <w:t>Regulations</w:t>
      </w:r>
      <w:r>
        <w:rPr>
          <w:sz w:val="23"/>
        </w:rPr>
        <w:t>.</w:t>
      </w:r>
    </w:p>
    <w:p w14:paraId="5EC70017" w14:textId="77777777" w:rsidR="00A8449C" w:rsidRPr="00761151" w:rsidRDefault="00A8449C" w:rsidP="008D69E8">
      <w:pPr>
        <w:pStyle w:val="Akapitzlist"/>
        <w:numPr>
          <w:ilvl w:val="0"/>
          <w:numId w:val="8"/>
        </w:numPr>
        <w:spacing w:after="0" w:line="336" w:lineRule="auto"/>
        <w:ind w:left="709"/>
        <w:rPr>
          <w:b/>
          <w:bCs/>
          <w:sz w:val="23"/>
          <w:szCs w:val="23"/>
        </w:rPr>
      </w:pPr>
      <w:r>
        <w:rPr>
          <w:sz w:val="23"/>
        </w:rPr>
        <w:t>Applications submitted after the expiry of the term shall not be considered. The date of submission of the application form at the Dean's Office shall determine the fact of meeting the deadline.</w:t>
      </w:r>
    </w:p>
    <w:p w14:paraId="135B53EB" w14:textId="3689A5DC" w:rsidR="00A8449C" w:rsidRPr="00761151" w:rsidRDefault="00A8449C" w:rsidP="008D69E8">
      <w:pPr>
        <w:pStyle w:val="Akapitzlist"/>
        <w:numPr>
          <w:ilvl w:val="0"/>
          <w:numId w:val="8"/>
        </w:numPr>
        <w:spacing w:after="0" w:line="336" w:lineRule="auto"/>
        <w:ind w:left="709"/>
        <w:rPr>
          <w:b/>
          <w:bCs/>
          <w:sz w:val="23"/>
          <w:szCs w:val="23"/>
        </w:rPr>
      </w:pPr>
      <w:r>
        <w:rPr>
          <w:sz w:val="23"/>
        </w:rPr>
        <w:t>All submitted application forms shall be considered until 31 May 2024.</w:t>
      </w:r>
    </w:p>
    <w:p w14:paraId="31AF09FB" w14:textId="25F6809D" w:rsidR="00A8449C" w:rsidRPr="00761151" w:rsidRDefault="008D69E8" w:rsidP="008D69E8">
      <w:pPr>
        <w:pStyle w:val="Akapitzlist"/>
        <w:numPr>
          <w:ilvl w:val="0"/>
          <w:numId w:val="8"/>
        </w:numPr>
        <w:spacing w:after="0" w:line="336" w:lineRule="auto"/>
        <w:ind w:left="709"/>
        <w:rPr>
          <w:b/>
          <w:bCs/>
          <w:sz w:val="23"/>
          <w:szCs w:val="23"/>
        </w:rPr>
      </w:pPr>
      <w:r>
        <w:rPr>
          <w:sz w:val="23"/>
        </w:rPr>
        <w:t>Students shall be notified of co-financing rejection on their university email addresses.</w:t>
      </w:r>
    </w:p>
    <w:p w14:paraId="231EB116" w14:textId="77777777" w:rsidR="00686887" w:rsidRPr="00761151" w:rsidRDefault="00686887" w:rsidP="008D69E8">
      <w:pPr>
        <w:pStyle w:val="Akapitzlist"/>
        <w:numPr>
          <w:ilvl w:val="0"/>
          <w:numId w:val="8"/>
        </w:numPr>
        <w:spacing w:after="0" w:line="336" w:lineRule="auto"/>
        <w:ind w:left="709"/>
        <w:rPr>
          <w:b/>
          <w:bCs/>
          <w:sz w:val="23"/>
          <w:szCs w:val="23"/>
        </w:rPr>
      </w:pPr>
      <w:r>
        <w:rPr>
          <w:sz w:val="23"/>
        </w:rPr>
        <w:t>In case of granting the co-financing, funds shall be transferred to the bank account specified by the student in the application form.</w:t>
      </w:r>
    </w:p>
    <w:p w14:paraId="6B7C56BB" w14:textId="2191B3D8" w:rsidR="000F5EE1" w:rsidRPr="00761151" w:rsidRDefault="003F2DD6" w:rsidP="008D69E8">
      <w:pPr>
        <w:pStyle w:val="Nagwek1"/>
      </w:pPr>
      <w:r>
        <w:t>§ 3</w:t>
      </w:r>
    </w:p>
    <w:p w14:paraId="1C18378D" w14:textId="5007519D" w:rsidR="000F5EE1" w:rsidRPr="00761151" w:rsidRDefault="000F5EE1" w:rsidP="002D436A">
      <w:pPr>
        <w:spacing w:line="360" w:lineRule="auto"/>
        <w:rPr>
          <w:rFonts w:cstheme="minorHAnsi"/>
          <w:sz w:val="23"/>
          <w:szCs w:val="23"/>
        </w:rPr>
      </w:pPr>
      <w:r>
        <w:rPr>
          <w:sz w:val="23"/>
        </w:rPr>
        <w:t xml:space="preserve">The </w:t>
      </w:r>
      <w:r w:rsidR="00D0139E">
        <w:rPr>
          <w:sz w:val="23"/>
        </w:rPr>
        <w:t>Order</w:t>
      </w:r>
      <w:r>
        <w:rPr>
          <w:sz w:val="23"/>
        </w:rPr>
        <w:t xml:space="preserve"> shall come into force on  the day of its conclusion.</w:t>
      </w:r>
    </w:p>
    <w:p w14:paraId="6817DA30" w14:textId="77777777" w:rsidR="000F5EE1" w:rsidRPr="00761151" w:rsidRDefault="000F5EE1" w:rsidP="002D436A">
      <w:pPr>
        <w:pStyle w:val="Tekstpodstawowywcity2"/>
        <w:spacing w:after="0" w:line="720" w:lineRule="auto"/>
        <w:ind w:left="0"/>
        <w:rPr>
          <w:rFonts w:asciiTheme="minorHAnsi" w:hAnsiTheme="minorHAnsi" w:cstheme="minorHAnsi"/>
          <w:b/>
          <w:sz w:val="23"/>
          <w:szCs w:val="23"/>
        </w:rPr>
      </w:pPr>
      <w:r>
        <w:rPr>
          <w:rFonts w:asciiTheme="minorHAnsi" w:hAnsiTheme="minorHAnsi"/>
          <w:b/>
          <w:sz w:val="23"/>
        </w:rPr>
        <w:t>Rector</w:t>
      </w:r>
    </w:p>
    <w:p w14:paraId="30598934" w14:textId="3FBCFD45" w:rsidR="000F5EE1" w:rsidRDefault="000F5EE1" w:rsidP="00761151">
      <w:pPr>
        <w:pStyle w:val="Tekstpodstawowywcity2"/>
        <w:spacing w:after="0" w:line="360" w:lineRule="auto"/>
        <w:ind w:left="0"/>
        <w:rPr>
          <w:rFonts w:asciiTheme="minorHAnsi" w:hAnsiTheme="minorHAnsi"/>
          <w:b/>
          <w:sz w:val="23"/>
        </w:rPr>
      </w:pPr>
      <w:r>
        <w:rPr>
          <w:rFonts w:asciiTheme="minorHAnsi" w:hAnsiTheme="minorHAnsi"/>
          <w:b/>
          <w:sz w:val="23"/>
        </w:rPr>
        <w:t xml:space="preserve">prof. </w:t>
      </w:r>
      <w:proofErr w:type="spellStart"/>
      <w:r>
        <w:rPr>
          <w:rFonts w:asciiTheme="minorHAnsi" w:hAnsiTheme="minorHAnsi"/>
          <w:b/>
          <w:sz w:val="23"/>
        </w:rPr>
        <w:t>dr</w:t>
      </w:r>
      <w:proofErr w:type="spellEnd"/>
      <w:r>
        <w:rPr>
          <w:rFonts w:asciiTheme="minorHAnsi" w:hAnsiTheme="minorHAnsi"/>
          <w:b/>
          <w:sz w:val="23"/>
        </w:rPr>
        <w:t xml:space="preserve"> hab. Adam </w:t>
      </w:r>
      <w:proofErr w:type="spellStart"/>
      <w:r>
        <w:rPr>
          <w:rFonts w:asciiTheme="minorHAnsi" w:hAnsiTheme="minorHAnsi"/>
          <w:b/>
          <w:sz w:val="23"/>
        </w:rPr>
        <w:t>Krętowski</w:t>
      </w:r>
      <w:proofErr w:type="spellEnd"/>
    </w:p>
    <w:p w14:paraId="251FBA0E" w14:textId="1383A27F" w:rsidR="0060204D" w:rsidRPr="0060204D" w:rsidRDefault="0060204D" w:rsidP="00761151">
      <w:pPr>
        <w:pStyle w:val="Tekstpodstawowywcity2"/>
        <w:spacing w:after="0" w:line="360" w:lineRule="auto"/>
        <w:ind w:left="0"/>
        <w:rPr>
          <w:rFonts w:asciiTheme="minorHAnsi" w:hAnsiTheme="minorHAnsi" w:cstheme="minorHAnsi"/>
          <w:sz w:val="23"/>
          <w:szCs w:val="23"/>
        </w:rPr>
      </w:pPr>
    </w:p>
    <w:sectPr w:rsidR="0060204D" w:rsidRPr="0060204D" w:rsidSect="00E03BAA">
      <w:pgSz w:w="11906" w:h="16838"/>
      <w:pgMar w:top="1418"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37D1B" w14:textId="77777777" w:rsidR="008141D4" w:rsidRDefault="008141D4" w:rsidP="0001016A">
      <w:pPr>
        <w:spacing w:after="0" w:line="240" w:lineRule="auto"/>
      </w:pPr>
      <w:r>
        <w:separator/>
      </w:r>
    </w:p>
  </w:endnote>
  <w:endnote w:type="continuationSeparator" w:id="0">
    <w:p w14:paraId="1334FB74" w14:textId="77777777" w:rsidR="008141D4" w:rsidRDefault="008141D4" w:rsidP="0001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2E8A1" w14:textId="77777777" w:rsidR="008141D4" w:rsidRDefault="008141D4" w:rsidP="0001016A">
      <w:pPr>
        <w:spacing w:after="0" w:line="240" w:lineRule="auto"/>
      </w:pPr>
      <w:r>
        <w:separator/>
      </w:r>
    </w:p>
  </w:footnote>
  <w:footnote w:type="continuationSeparator" w:id="0">
    <w:p w14:paraId="5084A8A7" w14:textId="77777777" w:rsidR="008141D4" w:rsidRDefault="008141D4" w:rsidP="00010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B254E"/>
    <w:multiLevelType w:val="hybridMultilevel"/>
    <w:tmpl w:val="9B8AA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5131AB"/>
    <w:multiLevelType w:val="hybridMultilevel"/>
    <w:tmpl w:val="7AA23BAE"/>
    <w:lvl w:ilvl="0" w:tplc="D4FEC092">
      <w:start w:val="1"/>
      <w:numFmt w:val="decimal"/>
      <w:lvlText w:val="%1."/>
      <w:lvlJc w:val="left"/>
      <w:pPr>
        <w:ind w:left="720" w:hanging="360"/>
      </w:pPr>
      <w:rPr>
        <w:b w:val="0"/>
      </w:rPr>
    </w:lvl>
    <w:lvl w:ilvl="1" w:tplc="EA1493C6">
      <w:numFmt w:val="bullet"/>
      <w:lvlText w:val=""/>
      <w:lvlJc w:val="left"/>
      <w:pPr>
        <w:ind w:left="1440" w:hanging="360"/>
      </w:pPr>
      <w:rPr>
        <w:rFonts w:ascii="Symbol" w:eastAsiaTheme="minorHAnsi" w:hAnsi="Symbol" w:cstheme="minorBidi"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6306FD"/>
    <w:multiLevelType w:val="hybridMultilevel"/>
    <w:tmpl w:val="6CCC7126"/>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1707459"/>
    <w:multiLevelType w:val="hybridMultilevel"/>
    <w:tmpl w:val="B2AAB4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B97983"/>
    <w:multiLevelType w:val="hybridMultilevel"/>
    <w:tmpl w:val="111488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5EC6734"/>
    <w:multiLevelType w:val="hybridMultilevel"/>
    <w:tmpl w:val="3E7C9294"/>
    <w:lvl w:ilvl="0" w:tplc="30AA6D1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CA325F7"/>
    <w:multiLevelType w:val="hybridMultilevel"/>
    <w:tmpl w:val="7F7AD014"/>
    <w:lvl w:ilvl="0" w:tplc="319A65DC">
      <w:start w:val="1"/>
      <w:numFmt w:val="decimal"/>
      <w:lvlText w:val="%1)"/>
      <w:lvlJc w:val="left"/>
      <w:pPr>
        <w:ind w:left="1440" w:hanging="360"/>
      </w:pPr>
      <w:rPr>
        <w:i w:val="0"/>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6D8313FD"/>
    <w:multiLevelType w:val="hybridMultilevel"/>
    <w:tmpl w:val="7F7AD014"/>
    <w:lvl w:ilvl="0" w:tplc="319A65DC">
      <w:start w:val="1"/>
      <w:numFmt w:val="decimal"/>
      <w:lvlText w:val="%1)"/>
      <w:lvlJc w:val="left"/>
      <w:pPr>
        <w:ind w:left="1440" w:hanging="360"/>
      </w:pPr>
      <w:rPr>
        <w:i w:val="0"/>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
  </w:num>
  <w:num w:numId="2">
    <w:abstractNumId w:val="0"/>
  </w:num>
  <w:num w:numId="3">
    <w:abstractNumId w:val="5"/>
  </w:num>
  <w:num w:numId="4">
    <w:abstractNumId w:val="4"/>
  </w:num>
  <w:num w:numId="5">
    <w:abstractNumId w:val="7"/>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3CB"/>
    <w:rsid w:val="0001016A"/>
    <w:rsid w:val="00030917"/>
    <w:rsid w:val="00051ABB"/>
    <w:rsid w:val="0007791A"/>
    <w:rsid w:val="00093B59"/>
    <w:rsid w:val="000A29ED"/>
    <w:rsid w:val="000F5EE1"/>
    <w:rsid w:val="000F6D95"/>
    <w:rsid w:val="00113E9A"/>
    <w:rsid w:val="001B54C7"/>
    <w:rsid w:val="001B5C0E"/>
    <w:rsid w:val="001D774B"/>
    <w:rsid w:val="00215AB4"/>
    <w:rsid w:val="00216308"/>
    <w:rsid w:val="002372AB"/>
    <w:rsid w:val="00255362"/>
    <w:rsid w:val="00280C5B"/>
    <w:rsid w:val="00295DFC"/>
    <w:rsid w:val="002B3BAC"/>
    <w:rsid w:val="002C1FC6"/>
    <w:rsid w:val="002D436A"/>
    <w:rsid w:val="002E1879"/>
    <w:rsid w:val="00312351"/>
    <w:rsid w:val="00343370"/>
    <w:rsid w:val="0035596B"/>
    <w:rsid w:val="003609D8"/>
    <w:rsid w:val="003628AE"/>
    <w:rsid w:val="003635DB"/>
    <w:rsid w:val="0036493B"/>
    <w:rsid w:val="003A6EB9"/>
    <w:rsid w:val="003F2DD6"/>
    <w:rsid w:val="004102DE"/>
    <w:rsid w:val="00441236"/>
    <w:rsid w:val="00462812"/>
    <w:rsid w:val="00515864"/>
    <w:rsid w:val="00520A2C"/>
    <w:rsid w:val="00525979"/>
    <w:rsid w:val="00541B1B"/>
    <w:rsid w:val="005B7D8C"/>
    <w:rsid w:val="005D2E53"/>
    <w:rsid w:val="005E5278"/>
    <w:rsid w:val="0060204D"/>
    <w:rsid w:val="00610AFD"/>
    <w:rsid w:val="006374D0"/>
    <w:rsid w:val="006641FC"/>
    <w:rsid w:val="006703CB"/>
    <w:rsid w:val="006855D7"/>
    <w:rsid w:val="00686887"/>
    <w:rsid w:val="006933FD"/>
    <w:rsid w:val="006B5B52"/>
    <w:rsid w:val="006C792C"/>
    <w:rsid w:val="00742CBA"/>
    <w:rsid w:val="00761151"/>
    <w:rsid w:val="00761323"/>
    <w:rsid w:val="00795785"/>
    <w:rsid w:val="007E1043"/>
    <w:rsid w:val="007E54F5"/>
    <w:rsid w:val="007F69E7"/>
    <w:rsid w:val="008141D4"/>
    <w:rsid w:val="00872198"/>
    <w:rsid w:val="008B3570"/>
    <w:rsid w:val="008D69E8"/>
    <w:rsid w:val="00916D0A"/>
    <w:rsid w:val="009508D9"/>
    <w:rsid w:val="00983E8F"/>
    <w:rsid w:val="00987B76"/>
    <w:rsid w:val="009B69D3"/>
    <w:rsid w:val="009D08C0"/>
    <w:rsid w:val="009D2900"/>
    <w:rsid w:val="00A01C4E"/>
    <w:rsid w:val="00A05429"/>
    <w:rsid w:val="00A544C2"/>
    <w:rsid w:val="00A70920"/>
    <w:rsid w:val="00A7417F"/>
    <w:rsid w:val="00A8449C"/>
    <w:rsid w:val="00AA5423"/>
    <w:rsid w:val="00AF60FA"/>
    <w:rsid w:val="00B27000"/>
    <w:rsid w:val="00B51CAF"/>
    <w:rsid w:val="00B83E80"/>
    <w:rsid w:val="00BA03AB"/>
    <w:rsid w:val="00BB1208"/>
    <w:rsid w:val="00BD7B3B"/>
    <w:rsid w:val="00C04927"/>
    <w:rsid w:val="00C10C5F"/>
    <w:rsid w:val="00C96AAD"/>
    <w:rsid w:val="00CA7EF6"/>
    <w:rsid w:val="00D0139E"/>
    <w:rsid w:val="00D02B19"/>
    <w:rsid w:val="00D44B9C"/>
    <w:rsid w:val="00D61A46"/>
    <w:rsid w:val="00D91C71"/>
    <w:rsid w:val="00DA1952"/>
    <w:rsid w:val="00DA5CA6"/>
    <w:rsid w:val="00DC599B"/>
    <w:rsid w:val="00E03BAA"/>
    <w:rsid w:val="00E317A8"/>
    <w:rsid w:val="00E4404D"/>
    <w:rsid w:val="00E72474"/>
    <w:rsid w:val="00E866E6"/>
    <w:rsid w:val="00E95CE0"/>
    <w:rsid w:val="00F061B1"/>
    <w:rsid w:val="00F17996"/>
    <w:rsid w:val="00F515DF"/>
    <w:rsid w:val="00FA158C"/>
    <w:rsid w:val="00FA25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01A59"/>
  <w15:chartTrackingRefBased/>
  <w15:docId w15:val="{474FE8FE-6A82-4556-9B6D-08C8A2623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D69E8"/>
    <w:pPr>
      <w:spacing w:before="240" w:after="0" w:line="336" w:lineRule="auto"/>
      <w:outlineLvl w:val="0"/>
    </w:pPr>
    <w:rPr>
      <w:rFonts w:cstheme="minorHAnsi"/>
      <w:b/>
      <w:sz w:val="23"/>
      <w:szCs w:val="23"/>
    </w:rPr>
  </w:style>
  <w:style w:type="paragraph" w:styleId="Nagwek2">
    <w:name w:val="heading 2"/>
    <w:basedOn w:val="Nagwek1"/>
    <w:link w:val="Nagwek2Znak"/>
    <w:uiPriority w:val="9"/>
    <w:qFormat/>
    <w:rsid w:val="008D69E8"/>
    <w:pPr>
      <w:spacing w:line="312" w:lineRule="auto"/>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6703CB"/>
  </w:style>
  <w:style w:type="character" w:customStyle="1" w:styleId="Nagwek2Znak">
    <w:name w:val="Nagłówek 2 Znak"/>
    <w:basedOn w:val="Domylnaczcionkaakapitu"/>
    <w:link w:val="Nagwek2"/>
    <w:uiPriority w:val="9"/>
    <w:rsid w:val="008D69E8"/>
    <w:rPr>
      <w:rFonts w:cstheme="minorHAnsi"/>
      <w:b/>
      <w:sz w:val="23"/>
      <w:szCs w:val="23"/>
      <w:u w:val="single"/>
    </w:rPr>
  </w:style>
  <w:style w:type="character" w:customStyle="1" w:styleId="czerwonywl">
    <w:name w:val="czerwony_wl"/>
    <w:basedOn w:val="Domylnaczcionkaakapitu"/>
    <w:rsid w:val="00795785"/>
  </w:style>
  <w:style w:type="paragraph" w:styleId="Akapitzlist">
    <w:name w:val="List Paragraph"/>
    <w:basedOn w:val="Normalny"/>
    <w:uiPriority w:val="34"/>
    <w:qFormat/>
    <w:rsid w:val="00686887"/>
    <w:pPr>
      <w:ind w:left="720"/>
      <w:contextualSpacing/>
    </w:pPr>
  </w:style>
  <w:style w:type="table" w:styleId="Tabela-Siatka">
    <w:name w:val="Table Grid"/>
    <w:basedOn w:val="Standardowy"/>
    <w:uiPriority w:val="39"/>
    <w:rsid w:val="00010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01016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1016A"/>
    <w:rPr>
      <w:sz w:val="20"/>
      <w:szCs w:val="20"/>
    </w:rPr>
  </w:style>
  <w:style w:type="character" w:styleId="Odwoanieprzypisudolnego">
    <w:name w:val="footnote reference"/>
    <w:basedOn w:val="Domylnaczcionkaakapitu"/>
    <w:uiPriority w:val="99"/>
    <w:unhideWhenUsed/>
    <w:rsid w:val="0001016A"/>
    <w:rPr>
      <w:vertAlign w:val="superscript"/>
    </w:rPr>
  </w:style>
  <w:style w:type="paragraph" w:customStyle="1" w:styleId="p1">
    <w:name w:val="p1"/>
    <w:basedOn w:val="Normalny"/>
    <w:rsid w:val="007E1043"/>
    <w:pPr>
      <w:spacing w:after="0" w:line="240" w:lineRule="auto"/>
    </w:pPr>
    <w:rPr>
      <w:rFonts w:ascii="Times New Roman" w:eastAsia="Calibri" w:hAnsi="Times New Roman" w:cs="Times New Roman"/>
      <w:sz w:val="17"/>
      <w:szCs w:val="17"/>
      <w:lang w:eastAsia="pl-PL"/>
    </w:rPr>
  </w:style>
  <w:style w:type="character" w:styleId="Hipercze">
    <w:name w:val="Hyperlink"/>
    <w:uiPriority w:val="99"/>
    <w:unhideWhenUsed/>
    <w:rsid w:val="007E1043"/>
    <w:rPr>
      <w:color w:val="0563C1"/>
      <w:u w:val="single"/>
    </w:rPr>
  </w:style>
  <w:style w:type="character" w:styleId="Odwoaniedokomentarza">
    <w:name w:val="annotation reference"/>
    <w:basedOn w:val="Domylnaczcionkaakapitu"/>
    <w:uiPriority w:val="99"/>
    <w:semiHidden/>
    <w:unhideWhenUsed/>
    <w:rsid w:val="00BB1208"/>
    <w:rPr>
      <w:sz w:val="16"/>
      <w:szCs w:val="16"/>
    </w:rPr>
  </w:style>
  <w:style w:type="paragraph" w:styleId="Tekstkomentarza">
    <w:name w:val="annotation text"/>
    <w:basedOn w:val="Normalny"/>
    <w:link w:val="TekstkomentarzaZnak"/>
    <w:uiPriority w:val="99"/>
    <w:semiHidden/>
    <w:unhideWhenUsed/>
    <w:rsid w:val="00BB120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1208"/>
    <w:rPr>
      <w:sz w:val="20"/>
      <w:szCs w:val="20"/>
    </w:rPr>
  </w:style>
  <w:style w:type="paragraph" w:styleId="Tematkomentarza">
    <w:name w:val="annotation subject"/>
    <w:basedOn w:val="Tekstkomentarza"/>
    <w:next w:val="Tekstkomentarza"/>
    <w:link w:val="TematkomentarzaZnak"/>
    <w:uiPriority w:val="99"/>
    <w:semiHidden/>
    <w:unhideWhenUsed/>
    <w:rsid w:val="00BB1208"/>
    <w:rPr>
      <w:b/>
      <w:bCs/>
    </w:rPr>
  </w:style>
  <w:style w:type="character" w:customStyle="1" w:styleId="TematkomentarzaZnak">
    <w:name w:val="Temat komentarza Znak"/>
    <w:basedOn w:val="TekstkomentarzaZnak"/>
    <w:link w:val="Tematkomentarza"/>
    <w:uiPriority w:val="99"/>
    <w:semiHidden/>
    <w:rsid w:val="00BB1208"/>
    <w:rPr>
      <w:b/>
      <w:bCs/>
      <w:sz w:val="20"/>
      <w:szCs w:val="20"/>
    </w:rPr>
  </w:style>
  <w:style w:type="paragraph" w:styleId="Tekstdymka">
    <w:name w:val="Balloon Text"/>
    <w:basedOn w:val="Normalny"/>
    <w:link w:val="TekstdymkaZnak"/>
    <w:uiPriority w:val="99"/>
    <w:semiHidden/>
    <w:unhideWhenUsed/>
    <w:rsid w:val="00BB12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1208"/>
    <w:rPr>
      <w:rFonts w:ascii="Segoe UI" w:hAnsi="Segoe UI" w:cs="Segoe UI"/>
      <w:sz w:val="18"/>
      <w:szCs w:val="18"/>
    </w:rPr>
  </w:style>
  <w:style w:type="character" w:customStyle="1" w:styleId="Nagwek1Znak">
    <w:name w:val="Nagłówek 1 Znak"/>
    <w:basedOn w:val="Domylnaczcionkaakapitu"/>
    <w:link w:val="Nagwek1"/>
    <w:uiPriority w:val="9"/>
    <w:rsid w:val="008D69E8"/>
    <w:rPr>
      <w:rFonts w:cstheme="minorHAnsi"/>
      <w:b/>
      <w:sz w:val="23"/>
      <w:szCs w:val="23"/>
    </w:rPr>
  </w:style>
  <w:style w:type="paragraph" w:styleId="Tekstpodstawowywcity2">
    <w:name w:val="Body Text Indent 2"/>
    <w:basedOn w:val="Normalny"/>
    <w:link w:val="Tekstpodstawowywcity2Znak"/>
    <w:uiPriority w:val="99"/>
    <w:rsid w:val="000F5EE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0F5EE1"/>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rsid w:val="002D43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9081">
      <w:bodyDiv w:val="1"/>
      <w:marLeft w:val="0"/>
      <w:marRight w:val="0"/>
      <w:marTop w:val="0"/>
      <w:marBottom w:val="0"/>
      <w:divBdr>
        <w:top w:val="none" w:sz="0" w:space="0" w:color="auto"/>
        <w:left w:val="none" w:sz="0" w:space="0" w:color="auto"/>
        <w:bottom w:val="none" w:sz="0" w:space="0" w:color="auto"/>
        <w:right w:val="none" w:sz="0" w:space="0" w:color="auto"/>
      </w:divBdr>
    </w:div>
    <w:div w:id="1577132464">
      <w:bodyDiv w:val="1"/>
      <w:marLeft w:val="0"/>
      <w:marRight w:val="0"/>
      <w:marTop w:val="0"/>
      <w:marBottom w:val="0"/>
      <w:divBdr>
        <w:top w:val="none" w:sz="0" w:space="0" w:color="auto"/>
        <w:left w:val="none" w:sz="0" w:space="0" w:color="auto"/>
        <w:bottom w:val="none" w:sz="0" w:space="0" w:color="auto"/>
        <w:right w:val="none" w:sz="0" w:space="0" w:color="auto"/>
      </w:divBdr>
    </w:div>
    <w:div w:id="1694913973">
      <w:bodyDiv w:val="1"/>
      <w:marLeft w:val="0"/>
      <w:marRight w:val="0"/>
      <w:marTop w:val="0"/>
      <w:marBottom w:val="0"/>
      <w:divBdr>
        <w:top w:val="none" w:sz="0" w:space="0" w:color="auto"/>
        <w:left w:val="none" w:sz="0" w:space="0" w:color="auto"/>
        <w:bottom w:val="none" w:sz="0" w:space="0" w:color="auto"/>
        <w:right w:val="none" w:sz="0" w:space="0" w:color="auto"/>
      </w:divBdr>
    </w:div>
    <w:div w:id="197008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E6FFD-46E5-4BF0-B67F-35F7DBDCA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2695</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Zarządzenie nr 115/2023 Rektora UMB wprowadzające Regulamin w sprawie zasad dofinansowania zakupu dostępu do platform edukacyjnych przygotowujących do Lekarskiego Egzaminu Końcowego oraz Lekarsko-Dentystycznego Egzaminu Końcowego w Uniwersytecie Medycznym</vt:lpstr>
    </vt:vector>
  </TitlesOfParts>
  <Company>Uniwesytet Medyczny w Bialymstoku</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115/2023 Rektora UMB wprowadzające Regulamin w sprawie zasad dofinansowania zakupu dostępu do platform edukacyjnych przygotowujących do Lekarskiego Egzaminu Końcowego oraz Lekarsko-Dentystycznego Egzaminu Końcowego w Uniwersytecie Medycznym w Białymstoku obowiązujący w roku akademickim 2023/2024</dc:title>
  <dc:subject/>
  <dc:creator>Justyna Kurcewicz</dc:creator>
  <cp:keywords/>
  <dc:description/>
  <cp:lastModifiedBy>Emilia Snarska</cp:lastModifiedBy>
  <cp:revision>2</cp:revision>
  <cp:lastPrinted>2023-10-17T10:07:00Z</cp:lastPrinted>
  <dcterms:created xsi:type="dcterms:W3CDTF">2024-01-25T07:36:00Z</dcterms:created>
  <dcterms:modified xsi:type="dcterms:W3CDTF">2024-01-25T07:36:00Z</dcterms:modified>
</cp:coreProperties>
</file>