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E774A" w14:textId="1F043726" w:rsidR="001B51A2" w:rsidRPr="00335A70" w:rsidRDefault="001B51A2" w:rsidP="000C5D34">
      <w:pPr>
        <w:spacing w:after="240" w:line="348" w:lineRule="auto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GB"/>
        </w:rPr>
        <w:t xml:space="preserve">Appendix No. 1 to the Regulations for the use of the infrastructure of the </w:t>
      </w:r>
      <w:r w:rsidR="00335A70">
        <w:rPr>
          <w:rFonts w:ascii="Calibri" w:hAnsi="Calibri"/>
          <w:sz w:val="20"/>
          <w:szCs w:val="20"/>
          <w:lang w:val="en-GB"/>
        </w:rPr>
        <w:t>Centre</w:t>
      </w:r>
      <w:r>
        <w:rPr>
          <w:rFonts w:ascii="Calibri" w:hAnsi="Calibri"/>
          <w:sz w:val="20"/>
          <w:szCs w:val="20"/>
          <w:lang w:val="en-GB"/>
        </w:rPr>
        <w:t xml:space="preserve"> for Bioinformatics and Data Analysis (CB</w:t>
      </w:r>
      <w:r w:rsidR="00D23023">
        <w:rPr>
          <w:rFonts w:ascii="Calibri" w:hAnsi="Calibri"/>
          <w:sz w:val="20"/>
          <w:szCs w:val="20"/>
          <w:lang w:val="en-GB"/>
        </w:rPr>
        <w:t>iAD) introduced by the Order</w:t>
      </w:r>
      <w:r>
        <w:rPr>
          <w:rFonts w:ascii="Calibri" w:hAnsi="Calibri"/>
          <w:sz w:val="20"/>
          <w:szCs w:val="20"/>
          <w:lang w:val="en-GB"/>
        </w:rPr>
        <w:t xml:space="preserve"> No. 43/2023 of the Rector of the MUB dated 10.05.2023 </w:t>
      </w:r>
    </w:p>
    <w:p w14:paraId="6735E675" w14:textId="5F12DC01" w:rsidR="001A0485" w:rsidRPr="00335A70" w:rsidRDefault="003605FC" w:rsidP="000C5D34">
      <w:pPr>
        <w:spacing w:line="348" w:lineRule="auto"/>
        <w:rPr>
          <w:rFonts w:ascii="Calibri" w:hAnsi="Calibri" w:cs="Calibri"/>
          <w:b/>
          <w:sz w:val="26"/>
          <w:szCs w:val="26"/>
          <w:lang w:val="en-US"/>
        </w:rPr>
      </w:pPr>
      <w:r>
        <w:rPr>
          <w:rFonts w:ascii="Calibri" w:hAnsi="Calibri" w:cs="Calibri"/>
          <w:b/>
          <w:bCs/>
          <w:sz w:val="26"/>
          <w:szCs w:val="26"/>
          <w:lang w:val="en-GB"/>
        </w:rPr>
        <w:t xml:space="preserve">Procedure for granting authorization to process personal data </w:t>
      </w:r>
      <w:bookmarkStart w:id="0" w:name="_GoBack"/>
      <w:bookmarkEnd w:id="0"/>
      <w:r>
        <w:rPr>
          <w:rFonts w:ascii="Calibri" w:hAnsi="Calibri" w:cs="Calibri"/>
          <w:sz w:val="26"/>
          <w:szCs w:val="26"/>
          <w:lang w:val="en-GB"/>
        </w:rPr>
        <w:br/>
      </w:r>
      <w:r>
        <w:rPr>
          <w:rStyle w:val="markedcontent"/>
          <w:rFonts w:ascii="Calibri" w:hAnsi="Calibri" w:cs="Calibri"/>
          <w:b/>
          <w:bCs/>
          <w:sz w:val="26"/>
          <w:szCs w:val="26"/>
          <w:lang w:val="en-GB"/>
        </w:rPr>
        <w:t xml:space="preserve">in the infrastructure of the </w:t>
      </w:r>
      <w:r w:rsidR="00335A70">
        <w:rPr>
          <w:rStyle w:val="markedcontent"/>
          <w:rFonts w:ascii="Calibri" w:hAnsi="Calibri" w:cs="Calibri"/>
          <w:b/>
          <w:bCs/>
          <w:sz w:val="26"/>
          <w:szCs w:val="26"/>
          <w:lang w:val="en-GB"/>
        </w:rPr>
        <w:t>Centre</w:t>
      </w:r>
      <w:r>
        <w:rPr>
          <w:rStyle w:val="markedcontent"/>
          <w:rFonts w:ascii="Calibri" w:hAnsi="Calibri" w:cs="Calibri"/>
          <w:b/>
          <w:bCs/>
          <w:sz w:val="26"/>
          <w:szCs w:val="26"/>
          <w:lang w:val="en-GB"/>
        </w:rPr>
        <w:t xml:space="preserve"> for Bioinformatics and Data Analysis (CBiAD) </w:t>
      </w:r>
      <w:r>
        <w:rPr>
          <w:rStyle w:val="markedcontent"/>
          <w:rFonts w:ascii="Calibri" w:hAnsi="Calibri" w:cs="Calibri"/>
          <w:sz w:val="26"/>
          <w:szCs w:val="26"/>
          <w:lang w:val="en-GB"/>
        </w:rPr>
        <w:br/>
      </w:r>
      <w:r>
        <w:rPr>
          <w:rFonts w:ascii="Calibri" w:hAnsi="Calibri" w:cs="Calibri"/>
          <w:b/>
          <w:bCs/>
          <w:sz w:val="26"/>
          <w:szCs w:val="26"/>
          <w:lang w:val="en-GB"/>
        </w:rPr>
        <w:t>at the Medical University of Bialystok</w:t>
      </w:r>
    </w:p>
    <w:p w14:paraId="69FF6166" w14:textId="77777777" w:rsidR="00A350C4" w:rsidRPr="000C5D34" w:rsidRDefault="00A350C4" w:rsidP="000C5D34">
      <w:pPr>
        <w:pStyle w:val="Nagwek1"/>
      </w:pPr>
      <w:r>
        <w:rPr>
          <w:bCs/>
          <w:lang w:val="en-GB"/>
        </w:rPr>
        <w:t xml:space="preserve">§ 1 </w:t>
      </w:r>
    </w:p>
    <w:p w14:paraId="05488330" w14:textId="77777777" w:rsidR="00B620E2" w:rsidRPr="0041107F" w:rsidRDefault="00B620E2" w:rsidP="000C5D34">
      <w:pPr>
        <w:spacing w:line="348" w:lineRule="auto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>Definitions:</w:t>
      </w:r>
    </w:p>
    <w:p w14:paraId="49DD88F3" w14:textId="6E752CCC" w:rsidR="00B620E2" w:rsidRPr="00335A70" w:rsidRDefault="00B620E2" w:rsidP="000C5D34">
      <w:pPr>
        <w:pStyle w:val="Akapitzlist"/>
        <w:numPr>
          <w:ilvl w:val="0"/>
          <w:numId w:val="40"/>
        </w:numPr>
        <w:spacing w:line="348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GB"/>
        </w:rPr>
        <w:t>Administrator - person responsible for the correct operation of the infrastructure.</w:t>
      </w:r>
    </w:p>
    <w:p w14:paraId="52DBBB2D" w14:textId="5BB706C2" w:rsidR="00B620E2" w:rsidRPr="00335A70" w:rsidRDefault="00B620E2" w:rsidP="000C5D34">
      <w:pPr>
        <w:pStyle w:val="Akapitzlist"/>
        <w:numPr>
          <w:ilvl w:val="0"/>
          <w:numId w:val="40"/>
        </w:numPr>
        <w:spacing w:line="348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GB"/>
        </w:rPr>
        <w:t>Data Owner - project manager or a</w:t>
      </w:r>
      <w:r w:rsidR="002E1D96">
        <w:rPr>
          <w:rFonts w:ascii="Calibri" w:hAnsi="Calibri" w:cs="Calibri"/>
          <w:lang w:val="en-GB"/>
        </w:rPr>
        <w:t xml:space="preserve"> person appointed by the Head of the Centre</w:t>
      </w:r>
      <w:r>
        <w:rPr>
          <w:rFonts w:ascii="Calibri" w:hAnsi="Calibri" w:cs="Calibri"/>
          <w:lang w:val="en-GB"/>
        </w:rPr>
        <w:t>, deciding about access to data in the infrastructure.</w:t>
      </w:r>
    </w:p>
    <w:p w14:paraId="280BFA74" w14:textId="1724693B" w:rsidR="00B620E2" w:rsidRPr="00335A70" w:rsidRDefault="00B620E2" w:rsidP="000C5D34">
      <w:pPr>
        <w:pStyle w:val="Akapitzlist"/>
        <w:numPr>
          <w:ilvl w:val="0"/>
          <w:numId w:val="40"/>
        </w:numPr>
        <w:spacing w:line="348" w:lineRule="auto"/>
        <w:rPr>
          <w:lang w:val="en-US"/>
        </w:rPr>
      </w:pPr>
      <w:r>
        <w:rPr>
          <w:rFonts w:ascii="Calibri" w:hAnsi="Calibri" w:cs="Calibri"/>
          <w:lang w:val="en-GB"/>
        </w:rPr>
        <w:t xml:space="preserve">Applicant – any person requesting access to data in the infrastructure of the </w:t>
      </w:r>
      <w:r w:rsidR="00335A70">
        <w:rPr>
          <w:rFonts w:ascii="Calibri" w:hAnsi="Calibri" w:cs="Calibri"/>
          <w:lang w:val="en-GB"/>
        </w:rPr>
        <w:t>Centre</w:t>
      </w:r>
      <w:r>
        <w:rPr>
          <w:rFonts w:ascii="Calibri" w:hAnsi="Calibri" w:cs="Calibri"/>
          <w:lang w:val="en-GB"/>
        </w:rPr>
        <w:t xml:space="preserve"> for Bioinformatics and Data Analysis (CBiAD) at the Medical University of Bialystok.</w:t>
      </w:r>
    </w:p>
    <w:p w14:paraId="6E9400F1" w14:textId="016F9DB1" w:rsidR="003605FC" w:rsidRDefault="003605FC" w:rsidP="000C5D34">
      <w:pPr>
        <w:pStyle w:val="Nagwek1"/>
      </w:pPr>
      <w:r>
        <w:rPr>
          <w:bCs/>
          <w:lang w:val="en-GB"/>
        </w:rPr>
        <w:t xml:space="preserve">§ 2 </w:t>
      </w:r>
    </w:p>
    <w:p w14:paraId="35386DF6" w14:textId="178B1560" w:rsidR="007363AD" w:rsidRPr="0041107F" w:rsidRDefault="007363AD" w:rsidP="000C5D34">
      <w:pPr>
        <w:spacing w:line="348" w:lineRule="auto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>Process of granting access</w:t>
      </w:r>
      <w:r w:rsidR="002E1D96">
        <w:rPr>
          <w:rFonts w:ascii="Calibri" w:hAnsi="Calibri" w:cs="Calibri"/>
          <w:lang w:val="en-GB"/>
        </w:rPr>
        <w:t>.</w:t>
      </w:r>
    </w:p>
    <w:p w14:paraId="3EF4FE5C" w14:textId="5DEDE5A3" w:rsidR="00B620E2" w:rsidRPr="00335A70" w:rsidRDefault="0028668E" w:rsidP="000C5D34">
      <w:pPr>
        <w:pStyle w:val="Akapitzlist"/>
        <w:numPr>
          <w:ilvl w:val="0"/>
          <w:numId w:val="19"/>
        </w:numPr>
        <w:spacing w:line="348" w:lineRule="auto"/>
        <w:ind w:left="426"/>
        <w:rPr>
          <w:rStyle w:val="markedcontent"/>
          <w:rFonts w:ascii="Calibri" w:hAnsi="Calibri" w:cs="Calibri"/>
          <w:strike/>
          <w:lang w:val="en-US"/>
        </w:rPr>
      </w:pPr>
      <w:r>
        <w:rPr>
          <w:rStyle w:val="markedcontent"/>
          <w:rFonts w:ascii="Calibri" w:hAnsi="Calibri" w:cs="Calibri"/>
          <w:lang w:val="en-GB"/>
        </w:rPr>
        <w:t xml:space="preserve">The condition for obtaining an access authorizing the use of personal data </w:t>
      </w:r>
      <w:r>
        <w:rPr>
          <w:rStyle w:val="markedcontent"/>
          <w:rFonts w:ascii="Calibri" w:hAnsi="Calibri" w:cs="Calibri"/>
          <w:lang w:val="en-GB"/>
        </w:rPr>
        <w:br/>
        <w:t xml:space="preserve">in the infrastructure of the </w:t>
      </w:r>
      <w:r w:rsidR="00335A70">
        <w:rPr>
          <w:rStyle w:val="markedcontent"/>
          <w:rFonts w:ascii="Calibri" w:hAnsi="Calibri" w:cs="Calibri"/>
          <w:lang w:val="en-GB"/>
        </w:rPr>
        <w:t>Centre</w:t>
      </w:r>
      <w:r>
        <w:rPr>
          <w:rStyle w:val="markedcontent"/>
          <w:rFonts w:ascii="Calibri" w:hAnsi="Calibri" w:cs="Calibri"/>
          <w:lang w:val="en-GB"/>
        </w:rPr>
        <w:t xml:space="preserve"> for Bioinformatics and Data Analysis (CBiAD) is sending an e-</w:t>
      </w:r>
      <w:r w:rsidR="00335A70">
        <w:rPr>
          <w:rStyle w:val="markedcontent"/>
          <w:rFonts w:ascii="Calibri" w:hAnsi="Calibri" w:cs="Calibri"/>
          <w:lang w:val="en-GB"/>
        </w:rPr>
        <w:t xml:space="preserve">mail to: </w:t>
      </w:r>
      <w:hyperlink r:id="rId10" w:history="1">
        <w:r>
          <w:rPr>
            <w:rStyle w:val="Hipercze"/>
            <w:rFonts w:ascii="Calibri" w:hAnsi="Calibri" w:cs="Calibri"/>
            <w:lang w:val="en-GB"/>
          </w:rPr>
          <w:t>hpc@umb.edu.pl</w:t>
        </w:r>
      </w:hyperlink>
      <w:r>
        <w:rPr>
          <w:rStyle w:val="markedcontent"/>
          <w:rFonts w:ascii="Calibri" w:hAnsi="Calibri" w:cs="Calibri"/>
          <w:u w:val="single"/>
          <w:lang w:val="en-GB"/>
        </w:rPr>
        <w:t xml:space="preserve"> </w:t>
      </w:r>
      <w:r>
        <w:rPr>
          <w:rStyle w:val="markedcontent"/>
          <w:rFonts w:ascii="Calibri" w:hAnsi="Calibri" w:cs="Calibri"/>
          <w:lang w:val="en-GB"/>
        </w:rPr>
        <w:t xml:space="preserve">with information which data the Applicant wants to access and who is the Data Owner. </w:t>
      </w:r>
    </w:p>
    <w:p w14:paraId="57CEDCF9" w14:textId="336D65E1" w:rsidR="00B620E2" w:rsidRPr="00335A70" w:rsidRDefault="00B620E2" w:rsidP="000C5D34">
      <w:pPr>
        <w:pStyle w:val="Akapitzlist"/>
        <w:numPr>
          <w:ilvl w:val="0"/>
          <w:numId w:val="19"/>
        </w:numPr>
        <w:spacing w:line="348" w:lineRule="auto"/>
        <w:ind w:left="426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GB"/>
        </w:rPr>
        <w:t xml:space="preserve">The Administrator sends a query to the "Data Owner" in order to consent to the "Applicant's" access to the data. The query is sent in the form of an application </w:t>
      </w:r>
      <w:r w:rsidR="00335A70">
        <w:rPr>
          <w:rFonts w:ascii="Calibri" w:hAnsi="Calibri" w:cs="Calibri"/>
          <w:lang w:val="en-GB"/>
        </w:rPr>
        <w:t>complying</w:t>
      </w:r>
      <w:r>
        <w:rPr>
          <w:rFonts w:ascii="Calibri" w:hAnsi="Calibri" w:cs="Calibri"/>
          <w:lang w:val="en-GB"/>
        </w:rPr>
        <w:t xml:space="preserve"> with the template constituting Appendix 4 to this Procedure.</w:t>
      </w:r>
    </w:p>
    <w:p w14:paraId="36001639" w14:textId="45B5AB51" w:rsidR="00D1155E" w:rsidRPr="00335A70" w:rsidRDefault="00B620E2" w:rsidP="000C5D34">
      <w:pPr>
        <w:pStyle w:val="Akapitzlist"/>
        <w:numPr>
          <w:ilvl w:val="0"/>
          <w:numId w:val="19"/>
        </w:numPr>
        <w:spacing w:line="348" w:lineRule="auto"/>
        <w:ind w:left="426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GB"/>
        </w:rPr>
        <w:t>After acquiring the consent of the "Data Owner", the Administrator prepares the Authorization for the processing of personal data, according to the template constituting Appendix No. 1 to this Procedure.</w:t>
      </w:r>
    </w:p>
    <w:p w14:paraId="3C615369" w14:textId="77777777" w:rsidR="00D1155E" w:rsidRPr="00335A70" w:rsidRDefault="00D1155E" w:rsidP="000C5D34">
      <w:pPr>
        <w:pStyle w:val="Akapitzlist"/>
        <w:numPr>
          <w:ilvl w:val="0"/>
          <w:numId w:val="19"/>
        </w:numPr>
        <w:spacing w:line="348" w:lineRule="auto"/>
        <w:ind w:left="426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GB"/>
        </w:rPr>
        <w:t xml:space="preserve">The Administrator gives the authorization the case number </w:t>
      </w:r>
      <w:r>
        <w:rPr>
          <w:rStyle w:val="markedcontent"/>
          <w:rFonts w:ascii="Calibri" w:hAnsi="Calibri" w:cs="Calibri"/>
          <w:lang w:val="en-GB"/>
        </w:rPr>
        <w:t>CBAD.0154.no.year</w:t>
      </w:r>
      <w:r>
        <w:rPr>
          <w:rFonts w:ascii="Calibri" w:hAnsi="Calibri" w:cs="Calibri"/>
          <w:lang w:val="en-GB"/>
        </w:rPr>
        <w:t xml:space="preserve"> and submits it for signature/acceptance to the Rector or a person authorized by the Rector in electronic form in the EZD (Electronic Document Management) system.</w:t>
      </w:r>
    </w:p>
    <w:p w14:paraId="7CC9C0A7" w14:textId="7374E24A" w:rsidR="00B15350" w:rsidRPr="00335A70" w:rsidRDefault="00B15350" w:rsidP="000C5D34">
      <w:pPr>
        <w:pStyle w:val="Akapitzlist"/>
        <w:numPr>
          <w:ilvl w:val="0"/>
          <w:numId w:val="19"/>
        </w:numPr>
        <w:spacing w:line="348" w:lineRule="auto"/>
        <w:ind w:left="426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GB"/>
        </w:rPr>
        <w:t>The Rector or a person authorized by the Rector signs/accepts the authorization and returns it to the Administrator.</w:t>
      </w:r>
      <w:r>
        <w:rPr>
          <w:rFonts w:ascii="Calibri" w:hAnsi="Calibri" w:cs="Calibri"/>
          <w:lang w:val="en-GB"/>
        </w:rPr>
        <w:br/>
      </w:r>
    </w:p>
    <w:p w14:paraId="62F0BAE1" w14:textId="2B82AE7D" w:rsidR="00D1155E" w:rsidRPr="00335A70" w:rsidRDefault="00D1155E" w:rsidP="000C5D34">
      <w:pPr>
        <w:pStyle w:val="Akapitzlist"/>
        <w:numPr>
          <w:ilvl w:val="0"/>
          <w:numId w:val="19"/>
        </w:numPr>
        <w:spacing w:line="348" w:lineRule="auto"/>
        <w:ind w:left="426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GB"/>
        </w:rPr>
        <w:lastRenderedPageBreak/>
        <w:t xml:space="preserve">The administrator stores authorizations and archives them in the EZD system and keeps a register of authorizations containing: authorization number, date of </w:t>
      </w:r>
      <w:r w:rsidR="008B3AE5">
        <w:rPr>
          <w:rFonts w:ascii="Calibri" w:hAnsi="Calibri" w:cs="Calibri"/>
          <w:lang w:val="en-GB"/>
        </w:rPr>
        <w:t>g</w:t>
      </w:r>
      <w:r>
        <w:rPr>
          <w:rFonts w:ascii="Calibri" w:hAnsi="Calibri" w:cs="Calibri"/>
          <w:lang w:val="en-GB"/>
        </w:rPr>
        <w:t>ranting/</w:t>
      </w:r>
      <w:r w:rsidR="008B3AE5">
        <w:rPr>
          <w:rFonts w:ascii="Calibri" w:hAnsi="Calibri" w:cs="Calibri"/>
          <w:lang w:val="en-GB"/>
        </w:rPr>
        <w:t xml:space="preserve"> revoking</w:t>
      </w:r>
      <w:r>
        <w:rPr>
          <w:rFonts w:ascii="Calibri" w:hAnsi="Calibri" w:cs="Calibri"/>
          <w:lang w:val="en-GB"/>
        </w:rPr>
        <w:t>, scope of authorization.</w:t>
      </w:r>
    </w:p>
    <w:p w14:paraId="483E3F73" w14:textId="5A4E753C" w:rsidR="000619DD" w:rsidRPr="00335A70" w:rsidRDefault="000619DD" w:rsidP="000C5D34">
      <w:pPr>
        <w:pStyle w:val="Akapitzlist"/>
        <w:numPr>
          <w:ilvl w:val="0"/>
          <w:numId w:val="19"/>
        </w:numPr>
        <w:spacing w:line="348" w:lineRule="auto"/>
        <w:ind w:left="426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GB"/>
        </w:rPr>
        <w:t xml:space="preserve">Before proceeding with data processing, the Applicant reads the provisions on data protection at the Medical University of </w:t>
      </w:r>
      <w:r w:rsidR="00645F36">
        <w:rPr>
          <w:rFonts w:ascii="Calibri" w:hAnsi="Calibri" w:cs="Calibri"/>
          <w:lang w:val="en-GB"/>
        </w:rPr>
        <w:t xml:space="preserve">Bialystok. </w:t>
      </w:r>
      <w:r>
        <w:rPr>
          <w:rFonts w:ascii="Calibri" w:hAnsi="Calibri" w:cs="Calibri"/>
          <w:lang w:val="en-GB"/>
        </w:rPr>
        <w:t xml:space="preserve">Training materials are available at www.umb.edu.pl/iod. </w:t>
      </w:r>
    </w:p>
    <w:p w14:paraId="17150655" w14:textId="3ED882B9" w:rsidR="000619DD" w:rsidRPr="00335A70" w:rsidRDefault="000619DD" w:rsidP="000C5D34">
      <w:pPr>
        <w:pStyle w:val="Akapitzlist"/>
        <w:numPr>
          <w:ilvl w:val="0"/>
          <w:numId w:val="19"/>
        </w:numPr>
        <w:spacing w:line="348" w:lineRule="auto"/>
        <w:ind w:left="426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GB"/>
        </w:rPr>
        <w:t xml:space="preserve">After receiving the authorization to process personal data, the Applicant signs a </w:t>
      </w:r>
      <w:r w:rsidR="00335A70">
        <w:rPr>
          <w:rFonts w:ascii="Calibri" w:hAnsi="Calibri" w:cs="Calibri"/>
          <w:lang w:val="en-GB"/>
        </w:rPr>
        <w:t>declaration</w:t>
      </w:r>
      <w:r>
        <w:rPr>
          <w:rFonts w:ascii="Calibri" w:hAnsi="Calibri" w:cs="Calibri"/>
          <w:lang w:val="en-GB"/>
        </w:rPr>
        <w:t xml:space="preserve"> on maintaining the confidentiality of personal data, constituting Appendix 2 to the Procedure. The</w:t>
      </w:r>
      <w:r w:rsidR="00335A70">
        <w:rPr>
          <w:rFonts w:ascii="Calibri" w:hAnsi="Calibri" w:cs="Calibri"/>
          <w:lang w:val="en-GB"/>
        </w:rPr>
        <w:t xml:space="preserve"> declaration</w:t>
      </w:r>
      <w:r>
        <w:rPr>
          <w:rFonts w:ascii="Calibri" w:hAnsi="Calibri" w:cs="Calibri"/>
          <w:lang w:val="en-GB"/>
        </w:rPr>
        <w:t xml:space="preserve"> is stored by the Administrator.</w:t>
      </w:r>
      <w:r w:rsidR="00335A70">
        <w:rPr>
          <w:rFonts w:ascii="Calibri" w:hAnsi="Calibri" w:cs="Calibri"/>
          <w:lang w:val="en-GB"/>
        </w:rPr>
        <w:t xml:space="preserve">  </w:t>
      </w:r>
    </w:p>
    <w:p w14:paraId="1CA09F68" w14:textId="2C373B4D" w:rsidR="000619DD" w:rsidRPr="00335A70" w:rsidRDefault="000619DD" w:rsidP="000C5D34">
      <w:pPr>
        <w:pStyle w:val="Akapitzlist"/>
        <w:numPr>
          <w:ilvl w:val="0"/>
          <w:numId w:val="19"/>
        </w:numPr>
        <w:spacing w:line="348" w:lineRule="auto"/>
        <w:ind w:left="426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GB"/>
        </w:rPr>
        <w:t xml:space="preserve">After receiving the signed </w:t>
      </w:r>
      <w:r w:rsidR="00335A70">
        <w:rPr>
          <w:rFonts w:ascii="Calibri" w:hAnsi="Calibri" w:cs="Calibri"/>
          <w:lang w:val="en-GB"/>
        </w:rPr>
        <w:t>declaration</w:t>
      </w:r>
      <w:r>
        <w:rPr>
          <w:rFonts w:ascii="Calibri" w:hAnsi="Calibri" w:cs="Calibri"/>
          <w:lang w:val="en-GB"/>
        </w:rPr>
        <w:t>, the Administrator grants the Applicant access to the data.</w:t>
      </w:r>
    </w:p>
    <w:p w14:paraId="499CB3D6" w14:textId="64CA696F" w:rsidR="007363AD" w:rsidRDefault="00A350C4" w:rsidP="000C5D34">
      <w:pPr>
        <w:pStyle w:val="Nagwek1"/>
        <w:rPr>
          <w:rStyle w:val="markedcontent"/>
        </w:rPr>
      </w:pPr>
      <w:r>
        <w:rPr>
          <w:rStyle w:val="markedcontent"/>
          <w:bCs/>
          <w:lang w:val="en-GB"/>
        </w:rPr>
        <w:t>§ 3</w:t>
      </w:r>
    </w:p>
    <w:p w14:paraId="443BC162" w14:textId="5C5E91E0" w:rsidR="007363AD" w:rsidRPr="0041107F" w:rsidRDefault="007363AD" w:rsidP="000C5D34">
      <w:pPr>
        <w:pStyle w:val="Akapitzlist"/>
        <w:spacing w:line="348" w:lineRule="auto"/>
        <w:ind w:left="0"/>
        <w:rPr>
          <w:rStyle w:val="markedcontent"/>
          <w:rFonts w:ascii="Calibri" w:hAnsi="Calibri" w:cs="Calibri"/>
        </w:rPr>
      </w:pPr>
      <w:r>
        <w:rPr>
          <w:rStyle w:val="markedcontent"/>
          <w:rFonts w:ascii="Calibri" w:hAnsi="Calibri" w:cs="Calibri"/>
          <w:lang w:val="en-GB"/>
        </w:rPr>
        <w:t>Authorisation period</w:t>
      </w:r>
      <w:r w:rsidR="0057575D">
        <w:rPr>
          <w:rStyle w:val="markedcontent"/>
          <w:rFonts w:ascii="Calibri" w:hAnsi="Calibri" w:cs="Calibri"/>
          <w:lang w:val="en-GB"/>
        </w:rPr>
        <w:t>.</w:t>
      </w:r>
    </w:p>
    <w:p w14:paraId="04CB0BF2" w14:textId="5CF53701" w:rsidR="000619DD" w:rsidRPr="00335A70" w:rsidRDefault="000619DD" w:rsidP="000C5D34">
      <w:pPr>
        <w:pStyle w:val="Akapitzlist"/>
        <w:numPr>
          <w:ilvl w:val="0"/>
          <w:numId w:val="37"/>
        </w:numPr>
        <w:spacing w:line="348" w:lineRule="auto"/>
        <w:rPr>
          <w:rStyle w:val="markedcontent"/>
          <w:rFonts w:ascii="Calibri" w:hAnsi="Calibri" w:cs="Calibri"/>
          <w:strike/>
          <w:lang w:val="en-US"/>
        </w:rPr>
      </w:pPr>
      <w:r>
        <w:rPr>
          <w:rStyle w:val="markedcontent"/>
          <w:rFonts w:ascii="Calibri" w:hAnsi="Calibri" w:cs="Calibri"/>
          <w:lang w:val="en-GB"/>
        </w:rPr>
        <w:t xml:space="preserve">Authorizations to process personal data are valid until the date of revocation. </w:t>
      </w:r>
    </w:p>
    <w:p w14:paraId="54DE39B5" w14:textId="7A5AE4AC" w:rsidR="000B03C5" w:rsidRPr="00335A70" w:rsidRDefault="000B03C5" w:rsidP="000C5D34">
      <w:pPr>
        <w:pStyle w:val="Akapitzlist"/>
        <w:numPr>
          <w:ilvl w:val="0"/>
          <w:numId w:val="37"/>
        </w:numPr>
        <w:spacing w:line="348" w:lineRule="auto"/>
        <w:rPr>
          <w:rStyle w:val="markedcontent"/>
          <w:rFonts w:ascii="Calibri" w:hAnsi="Calibri" w:cs="Calibri"/>
          <w:lang w:val="en-US"/>
        </w:rPr>
      </w:pPr>
      <w:r>
        <w:rPr>
          <w:rStyle w:val="markedcontent"/>
          <w:rFonts w:ascii="Calibri" w:hAnsi="Calibri" w:cs="Calibri"/>
          <w:lang w:val="en-GB"/>
        </w:rPr>
        <w:t>Revocation of the authorisation is executed in particular in case of:</w:t>
      </w:r>
    </w:p>
    <w:p w14:paraId="4D36710C" w14:textId="75BC0B22" w:rsidR="000B03C5" w:rsidRPr="00335A70" w:rsidRDefault="000B03C5" w:rsidP="000C5D34">
      <w:pPr>
        <w:pStyle w:val="Akapitzlist"/>
        <w:numPr>
          <w:ilvl w:val="1"/>
          <w:numId w:val="37"/>
        </w:numPr>
        <w:spacing w:line="348" w:lineRule="auto"/>
        <w:rPr>
          <w:rStyle w:val="markedcontent"/>
          <w:rFonts w:ascii="Calibri" w:hAnsi="Calibri" w:cs="Calibri"/>
          <w:lang w:val="en-US"/>
        </w:rPr>
      </w:pPr>
      <w:r>
        <w:rPr>
          <w:rStyle w:val="markedcontent"/>
          <w:rFonts w:ascii="Calibri" w:hAnsi="Calibri" w:cs="Calibri"/>
          <w:lang w:val="en-GB"/>
        </w:rPr>
        <w:t>termination of the employment contract,</w:t>
      </w:r>
    </w:p>
    <w:p w14:paraId="09BC4F75" w14:textId="199299B6" w:rsidR="000B03C5" w:rsidRPr="00335A70" w:rsidRDefault="000B03C5" w:rsidP="000C5D34">
      <w:pPr>
        <w:pStyle w:val="Akapitzlist"/>
        <w:numPr>
          <w:ilvl w:val="1"/>
          <w:numId w:val="37"/>
        </w:numPr>
        <w:spacing w:line="348" w:lineRule="auto"/>
        <w:rPr>
          <w:rStyle w:val="markedcontent"/>
          <w:rFonts w:ascii="Calibri" w:hAnsi="Calibri" w:cs="Calibri"/>
          <w:lang w:val="en-US"/>
        </w:rPr>
      </w:pPr>
      <w:r>
        <w:rPr>
          <w:rStyle w:val="markedcontent"/>
          <w:rFonts w:ascii="Calibri" w:hAnsi="Calibri" w:cs="Calibri"/>
          <w:lang w:val="en-GB"/>
        </w:rPr>
        <w:t>expiry of the deadlines contained in data entrustment agreements,</w:t>
      </w:r>
    </w:p>
    <w:p w14:paraId="7FF75951" w14:textId="281FAB98" w:rsidR="000B03C5" w:rsidRPr="00335A70" w:rsidRDefault="000B03C5" w:rsidP="000C5D34">
      <w:pPr>
        <w:pStyle w:val="Akapitzlist"/>
        <w:numPr>
          <w:ilvl w:val="1"/>
          <w:numId w:val="37"/>
        </w:numPr>
        <w:spacing w:line="348" w:lineRule="auto"/>
        <w:rPr>
          <w:rStyle w:val="markedcontent"/>
          <w:rFonts w:ascii="Calibri" w:hAnsi="Calibri" w:cs="Calibri"/>
          <w:lang w:val="en-US"/>
        </w:rPr>
      </w:pPr>
      <w:r>
        <w:rPr>
          <w:rStyle w:val="markedcontent"/>
          <w:rFonts w:ascii="Calibri" w:hAnsi="Calibri" w:cs="Calibri"/>
          <w:lang w:val="en-GB"/>
        </w:rPr>
        <w:t>completion of the project(s) to which the authorization relates,</w:t>
      </w:r>
    </w:p>
    <w:p w14:paraId="3C61CD53" w14:textId="62969557" w:rsidR="00775AA7" w:rsidRPr="00335A70" w:rsidRDefault="00775AA7" w:rsidP="000C5D34">
      <w:pPr>
        <w:pStyle w:val="Akapitzlist"/>
        <w:numPr>
          <w:ilvl w:val="1"/>
          <w:numId w:val="37"/>
        </w:numPr>
        <w:spacing w:line="348" w:lineRule="auto"/>
        <w:rPr>
          <w:rStyle w:val="markedcontent"/>
          <w:rFonts w:ascii="Calibri" w:hAnsi="Calibri" w:cs="Calibri"/>
          <w:lang w:val="en-US"/>
        </w:rPr>
      </w:pPr>
      <w:r>
        <w:rPr>
          <w:rStyle w:val="markedcontent"/>
          <w:rFonts w:ascii="Calibri" w:hAnsi="Calibri" w:cs="Calibri"/>
          <w:lang w:val="en-GB"/>
        </w:rPr>
        <w:t>not following the provisions of this Regulations,</w:t>
      </w:r>
    </w:p>
    <w:p w14:paraId="73026039" w14:textId="18299B8E" w:rsidR="00096255" w:rsidRPr="00335A70" w:rsidRDefault="00775AA7" w:rsidP="000C5D34">
      <w:pPr>
        <w:pStyle w:val="Akapitzlist"/>
        <w:numPr>
          <w:ilvl w:val="1"/>
          <w:numId w:val="37"/>
        </w:numPr>
        <w:spacing w:line="348" w:lineRule="auto"/>
        <w:rPr>
          <w:rStyle w:val="markedcontent"/>
          <w:rFonts w:ascii="Calibri" w:hAnsi="Calibri" w:cs="Calibri"/>
          <w:lang w:val="en-US"/>
        </w:rPr>
      </w:pPr>
      <w:r>
        <w:rPr>
          <w:rStyle w:val="markedcontent"/>
          <w:rFonts w:ascii="Calibri" w:hAnsi="Calibri" w:cs="Calibri"/>
          <w:lang w:val="en-GB"/>
        </w:rPr>
        <w:t>not following the rules of data safety,</w:t>
      </w:r>
    </w:p>
    <w:p w14:paraId="44BACA11" w14:textId="0AC08E8E" w:rsidR="000B03C5" w:rsidRPr="00335A70" w:rsidRDefault="00096255" w:rsidP="000C5D34">
      <w:pPr>
        <w:pStyle w:val="Akapitzlist"/>
        <w:numPr>
          <w:ilvl w:val="1"/>
          <w:numId w:val="37"/>
        </w:numPr>
        <w:spacing w:line="348" w:lineRule="auto"/>
        <w:rPr>
          <w:rStyle w:val="markedcontent"/>
          <w:rFonts w:ascii="Calibri" w:hAnsi="Calibri" w:cs="Calibri"/>
          <w:lang w:val="en-US"/>
        </w:rPr>
      </w:pPr>
      <w:r>
        <w:rPr>
          <w:rStyle w:val="markedcontent"/>
          <w:rFonts w:ascii="Calibri" w:hAnsi="Calibri" w:cs="Calibri"/>
          <w:lang w:val="en-GB"/>
        </w:rPr>
        <w:t>per the request of the “Data Owner”.</w:t>
      </w:r>
    </w:p>
    <w:p w14:paraId="616FAD56" w14:textId="6C4147F0" w:rsidR="007363AD" w:rsidRPr="00335A70" w:rsidRDefault="007363AD" w:rsidP="000C5D34">
      <w:pPr>
        <w:pStyle w:val="Nagwek1"/>
        <w:rPr>
          <w:rStyle w:val="markedcontent"/>
          <w:lang w:val="en-US"/>
        </w:rPr>
      </w:pPr>
      <w:bookmarkStart w:id="1" w:name="_Hlk129788660"/>
      <w:r>
        <w:rPr>
          <w:rStyle w:val="markedcontent"/>
          <w:bCs/>
          <w:lang w:val="en-GB"/>
        </w:rPr>
        <w:t>§ 4</w:t>
      </w:r>
      <w:bookmarkEnd w:id="1"/>
    </w:p>
    <w:p w14:paraId="3875A35E" w14:textId="330F1C1D" w:rsidR="00A23724" w:rsidRPr="00335A70" w:rsidRDefault="00A23724" w:rsidP="000C5D34">
      <w:pPr>
        <w:spacing w:line="348" w:lineRule="auto"/>
        <w:rPr>
          <w:rStyle w:val="markedcontent"/>
          <w:rFonts w:ascii="Calibri" w:hAnsi="Calibri" w:cs="Calibri"/>
          <w:lang w:val="en-US"/>
        </w:rPr>
      </w:pPr>
      <w:r>
        <w:rPr>
          <w:rStyle w:val="markedcontent"/>
          <w:rFonts w:ascii="Calibri" w:hAnsi="Calibri" w:cs="Calibri"/>
          <w:lang w:val="en-GB"/>
        </w:rPr>
        <w:t>Process of revocation of the authorisation</w:t>
      </w:r>
      <w:r w:rsidR="0057575D">
        <w:rPr>
          <w:rStyle w:val="markedcontent"/>
          <w:rFonts w:ascii="Calibri" w:hAnsi="Calibri" w:cs="Calibri"/>
          <w:lang w:val="en-GB"/>
        </w:rPr>
        <w:t>.</w:t>
      </w:r>
    </w:p>
    <w:p w14:paraId="40848390" w14:textId="0A22C131" w:rsidR="007363AD" w:rsidRPr="00335A70" w:rsidRDefault="007363AD" w:rsidP="000C5D34">
      <w:pPr>
        <w:pStyle w:val="Akapitzlist"/>
        <w:numPr>
          <w:ilvl w:val="0"/>
          <w:numId w:val="39"/>
        </w:numPr>
        <w:spacing w:line="348" w:lineRule="auto"/>
        <w:rPr>
          <w:rStyle w:val="markedcontent"/>
          <w:rFonts w:ascii="Calibri" w:hAnsi="Calibri" w:cs="Calibri"/>
          <w:lang w:val="en-US"/>
        </w:rPr>
      </w:pPr>
      <w:r>
        <w:rPr>
          <w:rStyle w:val="markedcontent"/>
          <w:rFonts w:ascii="Calibri" w:hAnsi="Calibri" w:cs="Calibri"/>
          <w:lang w:val="en-GB"/>
        </w:rPr>
        <w:t xml:space="preserve">In the cases listed in §3 section 2 let. a - e, the authorization expires automatically, i.e. when the Administrator learns about the occurrence of any of the above cases, prepares the Revocation of the authorization </w:t>
      </w:r>
      <w:r>
        <w:rPr>
          <w:rFonts w:ascii="Calibri" w:hAnsi="Calibri" w:cs="Calibri"/>
          <w:lang w:val="en-GB"/>
        </w:rPr>
        <w:t>to process personal data, according to the template constituting Appendix No. 3 to this Procedure.</w:t>
      </w:r>
    </w:p>
    <w:p w14:paraId="47568278" w14:textId="26CF5800" w:rsidR="007129CF" w:rsidRPr="00335A70" w:rsidRDefault="007129CF" w:rsidP="000C5D34">
      <w:pPr>
        <w:pStyle w:val="Akapitzlist"/>
        <w:numPr>
          <w:ilvl w:val="0"/>
          <w:numId w:val="39"/>
        </w:numPr>
        <w:spacing w:line="348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GB"/>
        </w:rPr>
        <w:t xml:space="preserve">The administrator assigns a case mark </w:t>
      </w:r>
      <w:r>
        <w:rPr>
          <w:rStyle w:val="markedcontent"/>
          <w:rFonts w:ascii="Calibri" w:hAnsi="Calibri" w:cs="Calibri"/>
          <w:lang w:val="en-GB"/>
        </w:rPr>
        <w:t xml:space="preserve">CBAD.0154.no.year to the Revocation of authorisation </w:t>
      </w:r>
      <w:r>
        <w:rPr>
          <w:rFonts w:ascii="Calibri" w:hAnsi="Calibri" w:cs="Calibri"/>
          <w:lang w:val="en-GB"/>
        </w:rPr>
        <w:t>and submits it for signature/acceptance to the Rector or a person authorized by the Rector in electronic form in the EZD (Electronic Document Management) system.</w:t>
      </w:r>
    </w:p>
    <w:p w14:paraId="5CD81AD2" w14:textId="0FF1FE0C" w:rsidR="007129CF" w:rsidRPr="00335A70" w:rsidRDefault="007129CF" w:rsidP="000C5D34">
      <w:pPr>
        <w:pStyle w:val="Akapitzlist"/>
        <w:numPr>
          <w:ilvl w:val="0"/>
          <w:numId w:val="39"/>
        </w:numPr>
        <w:spacing w:line="348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GB"/>
        </w:rPr>
        <w:lastRenderedPageBreak/>
        <w:t>The Rector or a person authorized by the Rector signs/accepts the Revocation and returns it to the Administrator.</w:t>
      </w:r>
    </w:p>
    <w:p w14:paraId="6989D356" w14:textId="522D61CA" w:rsidR="007129CF" w:rsidRPr="00335A70" w:rsidRDefault="007129CF" w:rsidP="000C5D34">
      <w:pPr>
        <w:pStyle w:val="Akapitzlist"/>
        <w:numPr>
          <w:ilvl w:val="0"/>
          <w:numId w:val="39"/>
        </w:numPr>
        <w:spacing w:line="348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GB"/>
        </w:rPr>
        <w:t>The Administrator stores revocation and archives them in the EZD system.</w:t>
      </w:r>
    </w:p>
    <w:p w14:paraId="320D66B7" w14:textId="5AB7D62D" w:rsidR="00D97F89" w:rsidRPr="00335A70" w:rsidRDefault="00D97F89" w:rsidP="000C5D34">
      <w:pPr>
        <w:pStyle w:val="Akapitzlist"/>
        <w:numPr>
          <w:ilvl w:val="0"/>
          <w:numId w:val="39"/>
        </w:numPr>
        <w:spacing w:line="348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GB"/>
        </w:rPr>
        <w:t>The Administrator blocks access to the data, blocks the person and the access to data sets to which the Revocation relates.</w:t>
      </w:r>
    </w:p>
    <w:p w14:paraId="59A06D30" w14:textId="61CC35EC" w:rsidR="007B5836" w:rsidRPr="00335A70" w:rsidRDefault="007B5836" w:rsidP="000C5D34">
      <w:pPr>
        <w:pStyle w:val="Akapitzlist"/>
        <w:numPr>
          <w:ilvl w:val="0"/>
          <w:numId w:val="39"/>
        </w:numPr>
        <w:spacing w:line="348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GB"/>
        </w:rPr>
        <w:t xml:space="preserve">In case referred to </w:t>
      </w:r>
      <w:r w:rsidR="00335A70">
        <w:rPr>
          <w:rFonts w:ascii="Calibri" w:hAnsi="Calibri" w:cs="Calibri"/>
          <w:lang w:val="en-GB"/>
        </w:rPr>
        <w:t>in §</w:t>
      </w:r>
      <w:r>
        <w:rPr>
          <w:rStyle w:val="markedcontent"/>
          <w:rFonts w:ascii="Calibri" w:hAnsi="Calibri" w:cs="Calibri"/>
          <w:lang w:val="en-GB"/>
        </w:rPr>
        <w:t xml:space="preserve">3 sec. 2 let. f the “Data Owner” sends </w:t>
      </w:r>
      <w:r w:rsidR="00335A70">
        <w:rPr>
          <w:rStyle w:val="markedcontent"/>
          <w:rFonts w:ascii="Calibri" w:hAnsi="Calibri" w:cs="Calibri"/>
          <w:lang w:val="en-GB"/>
        </w:rPr>
        <w:t xml:space="preserve">request </w:t>
      </w:r>
      <w:r>
        <w:rPr>
          <w:rStyle w:val="markedcontent"/>
          <w:rFonts w:ascii="Calibri" w:hAnsi="Calibri" w:cs="Calibri"/>
          <w:lang w:val="en-GB"/>
        </w:rPr>
        <w:br/>
        <w:t xml:space="preserve">to revoke access to databases in the CBiAD infrastructure to the Administrator to the e-mail address: </w:t>
      </w:r>
      <w:hyperlink r:id="rId11" w:history="1">
        <w:r>
          <w:rPr>
            <w:rStyle w:val="Hipercze"/>
            <w:rFonts w:ascii="Calibri" w:hAnsi="Calibri" w:cs="Calibri"/>
            <w:lang w:val="en-GB"/>
          </w:rPr>
          <w:t>hpc@umb.edu.pl</w:t>
        </w:r>
      </w:hyperlink>
      <w:r>
        <w:rPr>
          <w:rStyle w:val="markedcontent"/>
          <w:rFonts w:ascii="Calibri" w:hAnsi="Calibri" w:cs="Calibri"/>
          <w:lang w:val="en-GB"/>
        </w:rPr>
        <w:t xml:space="preserve">. The template of the request </w:t>
      </w:r>
      <w:r w:rsidR="00335A70">
        <w:rPr>
          <w:rFonts w:ascii="Calibri" w:hAnsi="Calibri" w:cs="Calibri"/>
          <w:lang w:val="en-GB"/>
        </w:rPr>
        <w:t>constitutes Appendix</w:t>
      </w:r>
      <w:r>
        <w:rPr>
          <w:rFonts w:ascii="Calibri" w:hAnsi="Calibri" w:cs="Calibri"/>
          <w:lang w:val="en-GB"/>
        </w:rPr>
        <w:t xml:space="preserve"> 4 to the Procedure.</w:t>
      </w:r>
      <w:r>
        <w:rPr>
          <w:rStyle w:val="markedcontent"/>
          <w:rFonts w:ascii="Calibri" w:hAnsi="Calibri" w:cs="Calibri"/>
          <w:lang w:val="en-GB"/>
        </w:rPr>
        <w:t xml:space="preserve"> The further procedure for this case is the same as in sec. from 2 to 5 of this paragraph.</w:t>
      </w:r>
    </w:p>
    <w:p w14:paraId="744C30A7" w14:textId="3333E5F9" w:rsidR="004A53D4" w:rsidRPr="00335A70" w:rsidRDefault="004A53D4" w:rsidP="000C5D34">
      <w:pPr>
        <w:pStyle w:val="Nagwek1"/>
        <w:rPr>
          <w:rStyle w:val="markedcontent"/>
          <w:lang w:val="en-US"/>
        </w:rPr>
      </w:pPr>
      <w:r>
        <w:rPr>
          <w:rStyle w:val="markedcontent"/>
          <w:bCs/>
          <w:lang w:val="en-GB"/>
        </w:rPr>
        <w:t>§ 5</w:t>
      </w:r>
    </w:p>
    <w:p w14:paraId="51C59D81" w14:textId="7B6FD249" w:rsidR="00B72B4E" w:rsidRPr="00335A70" w:rsidRDefault="000619DD" w:rsidP="000C5D34">
      <w:pPr>
        <w:pStyle w:val="Akapitzlist"/>
        <w:spacing w:line="348" w:lineRule="auto"/>
        <w:ind w:left="0"/>
        <w:rPr>
          <w:rFonts w:ascii="Calibri" w:hAnsi="Calibri" w:cs="Calibri"/>
          <w:lang w:val="en-US"/>
        </w:rPr>
      </w:pPr>
      <w:r>
        <w:rPr>
          <w:rStyle w:val="markedcontent"/>
          <w:rFonts w:ascii="Calibri" w:hAnsi="Calibri" w:cs="Calibri"/>
          <w:lang w:val="en-GB"/>
        </w:rPr>
        <w:t xml:space="preserve">The procedure for granting authorization to process personal data in the infrastructure of the </w:t>
      </w:r>
      <w:r w:rsidR="00335A70">
        <w:rPr>
          <w:rStyle w:val="markedcontent"/>
          <w:rFonts w:ascii="Calibri" w:hAnsi="Calibri" w:cs="Calibri"/>
          <w:lang w:val="en-GB"/>
        </w:rPr>
        <w:t>Centre</w:t>
      </w:r>
      <w:r>
        <w:rPr>
          <w:rStyle w:val="markedcontent"/>
          <w:rFonts w:ascii="Calibri" w:hAnsi="Calibri" w:cs="Calibri"/>
          <w:lang w:val="en-GB"/>
        </w:rPr>
        <w:t xml:space="preserve"> for Bioinformatics and Data Analysis (CBiAD) at the Medical University of Bialystok </w:t>
      </w:r>
      <w:r w:rsidR="00335A70">
        <w:rPr>
          <w:rStyle w:val="markedcontent"/>
          <w:rFonts w:ascii="Calibri" w:hAnsi="Calibri" w:cs="Calibri"/>
          <w:lang w:val="en-GB"/>
        </w:rPr>
        <w:t>shall</w:t>
      </w:r>
      <w:r>
        <w:rPr>
          <w:rStyle w:val="markedcontent"/>
          <w:rFonts w:ascii="Calibri" w:hAnsi="Calibri" w:cs="Calibri"/>
          <w:lang w:val="en-GB"/>
        </w:rPr>
        <w:t xml:space="preserve"> be in force from 12.01.2023.</w:t>
      </w:r>
    </w:p>
    <w:p w14:paraId="3C5BFC3F" w14:textId="77777777" w:rsidR="00B72B4E" w:rsidRPr="0041107F" w:rsidRDefault="009F42F2" w:rsidP="00C153BF">
      <w:pPr>
        <w:spacing w:before="240" w:line="348" w:lineRule="auto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>Appendixes to the Procedure:</w:t>
      </w:r>
    </w:p>
    <w:p w14:paraId="12826F3F" w14:textId="0D8F84AE" w:rsidR="009F42F2" w:rsidRPr="00335A70" w:rsidRDefault="009F42F2" w:rsidP="000C5D34">
      <w:pPr>
        <w:pStyle w:val="Akapitzlist"/>
        <w:numPr>
          <w:ilvl w:val="0"/>
          <w:numId w:val="29"/>
        </w:numPr>
        <w:spacing w:line="348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GB"/>
        </w:rPr>
        <w:t>Template of the authorization to process personal data.</w:t>
      </w:r>
    </w:p>
    <w:p w14:paraId="30F276EA" w14:textId="3C34B65E" w:rsidR="00F670D6" w:rsidRPr="00335A70" w:rsidRDefault="00335A70" w:rsidP="000C5D34">
      <w:pPr>
        <w:pStyle w:val="Akapitzlist"/>
        <w:numPr>
          <w:ilvl w:val="0"/>
          <w:numId w:val="29"/>
        </w:numPr>
        <w:spacing w:line="348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GB"/>
        </w:rPr>
        <w:t>Declaration</w:t>
      </w:r>
      <w:r w:rsidR="009F42F2">
        <w:rPr>
          <w:rFonts w:ascii="Calibri" w:hAnsi="Calibri" w:cs="Calibri"/>
          <w:lang w:val="en-GB"/>
        </w:rPr>
        <w:t xml:space="preserve"> on maintaining the confidentiality of personal data.</w:t>
      </w:r>
    </w:p>
    <w:p w14:paraId="107E17EB" w14:textId="1EFA018B" w:rsidR="007129CF" w:rsidRPr="00335A70" w:rsidRDefault="007129CF" w:rsidP="000C5D34">
      <w:pPr>
        <w:pStyle w:val="Akapitzlist"/>
        <w:numPr>
          <w:ilvl w:val="0"/>
          <w:numId w:val="29"/>
        </w:numPr>
        <w:spacing w:line="348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GB"/>
        </w:rPr>
        <w:t>Template of the revocation of authorization to process personal data.</w:t>
      </w:r>
    </w:p>
    <w:p w14:paraId="13E879D8" w14:textId="0E358A01" w:rsidR="009540AF" w:rsidRPr="00335A70" w:rsidRDefault="009540AF" w:rsidP="000C5D34">
      <w:pPr>
        <w:pStyle w:val="Akapitzlist"/>
        <w:numPr>
          <w:ilvl w:val="0"/>
          <w:numId w:val="29"/>
        </w:numPr>
        <w:spacing w:line="348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GB"/>
        </w:rPr>
        <w:t>Template of the application for granting/revocation of authorizations.</w:t>
      </w:r>
    </w:p>
    <w:sectPr w:rsidR="009540AF" w:rsidRPr="00335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F1B88E" w16cid:durableId="27CEB92E"/>
  <w16cid:commentId w16cid:paraId="1010728D" w16cid:durableId="27BB0D6A"/>
  <w16cid:commentId w16cid:paraId="41E9BB19" w16cid:durableId="27BD83F7"/>
  <w16cid:commentId w16cid:paraId="1A095B2B" w16cid:durableId="27BC28EE"/>
  <w16cid:commentId w16cid:paraId="3C3FED46" w16cid:durableId="27BD8412"/>
  <w16cid:commentId w16cid:paraId="45EC26B0" w16cid:durableId="27BD84A2"/>
  <w16cid:commentId w16cid:paraId="677D7D68" w16cid:durableId="27BC5F3C"/>
  <w16cid:commentId w16cid:paraId="2170EAB8" w16cid:durableId="27BD8B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B75FA" w14:textId="77777777" w:rsidR="002E1BEE" w:rsidRDefault="002E1BEE" w:rsidP="00C9677A">
      <w:r>
        <w:separator/>
      </w:r>
    </w:p>
  </w:endnote>
  <w:endnote w:type="continuationSeparator" w:id="0">
    <w:p w14:paraId="2E13A535" w14:textId="77777777" w:rsidR="002E1BEE" w:rsidRDefault="002E1BEE" w:rsidP="00C9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B9AB8" w14:textId="77777777" w:rsidR="002E1BEE" w:rsidRDefault="002E1BEE" w:rsidP="00C9677A">
      <w:r>
        <w:separator/>
      </w:r>
    </w:p>
  </w:footnote>
  <w:footnote w:type="continuationSeparator" w:id="0">
    <w:p w14:paraId="547DE899" w14:textId="77777777" w:rsidR="002E1BEE" w:rsidRDefault="002E1BEE" w:rsidP="00C96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1AD5"/>
    <w:multiLevelType w:val="hybridMultilevel"/>
    <w:tmpl w:val="748A4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D2AFE"/>
    <w:multiLevelType w:val="hybridMultilevel"/>
    <w:tmpl w:val="0100C594"/>
    <w:lvl w:ilvl="0" w:tplc="9B6E5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38A24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66570D2"/>
    <w:multiLevelType w:val="hybridMultilevel"/>
    <w:tmpl w:val="4AA8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87A62"/>
    <w:multiLevelType w:val="hybridMultilevel"/>
    <w:tmpl w:val="DEAAC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321E6"/>
    <w:multiLevelType w:val="hybridMultilevel"/>
    <w:tmpl w:val="3CE21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F25F9"/>
    <w:multiLevelType w:val="hybridMultilevel"/>
    <w:tmpl w:val="EE2214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8F275C"/>
    <w:multiLevelType w:val="hybridMultilevel"/>
    <w:tmpl w:val="75D04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35E86"/>
    <w:multiLevelType w:val="multilevel"/>
    <w:tmpl w:val="3356F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963FBA"/>
    <w:multiLevelType w:val="hybridMultilevel"/>
    <w:tmpl w:val="09B0F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F528B"/>
    <w:multiLevelType w:val="hybridMultilevel"/>
    <w:tmpl w:val="66C4F3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D601E1"/>
    <w:multiLevelType w:val="hybridMultilevel"/>
    <w:tmpl w:val="93081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52B9C"/>
    <w:multiLevelType w:val="hybridMultilevel"/>
    <w:tmpl w:val="8180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14D81"/>
    <w:multiLevelType w:val="multilevel"/>
    <w:tmpl w:val="3356F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A244FE7"/>
    <w:multiLevelType w:val="hybridMultilevel"/>
    <w:tmpl w:val="1F184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872D2"/>
    <w:multiLevelType w:val="hybridMultilevel"/>
    <w:tmpl w:val="6C36C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242F2"/>
    <w:multiLevelType w:val="hybridMultilevel"/>
    <w:tmpl w:val="6FF47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E0604"/>
    <w:multiLevelType w:val="hybridMultilevel"/>
    <w:tmpl w:val="EF4AB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B0AB2"/>
    <w:multiLevelType w:val="hybridMultilevel"/>
    <w:tmpl w:val="127A4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E59F6"/>
    <w:multiLevelType w:val="hybridMultilevel"/>
    <w:tmpl w:val="67021F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D23C8"/>
    <w:multiLevelType w:val="hybridMultilevel"/>
    <w:tmpl w:val="E4B8E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74EE0"/>
    <w:multiLevelType w:val="multilevel"/>
    <w:tmpl w:val="3356F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9703C0F"/>
    <w:multiLevelType w:val="hybridMultilevel"/>
    <w:tmpl w:val="5F3E5A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B184524"/>
    <w:multiLevelType w:val="hybridMultilevel"/>
    <w:tmpl w:val="4C62D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6B4780"/>
    <w:multiLevelType w:val="multilevel"/>
    <w:tmpl w:val="696488E2"/>
    <w:lvl w:ilvl="0">
      <w:start w:val="1"/>
      <w:numFmt w:val="decimal"/>
      <w:lvlText w:val="%1"/>
      <w:lvlJc w:val="left"/>
      <w:pPr>
        <w:tabs>
          <w:tab w:val="num" w:pos="4827"/>
        </w:tabs>
        <w:ind w:left="4827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4971"/>
        </w:tabs>
        <w:ind w:left="4971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5115"/>
        </w:tabs>
        <w:ind w:left="5115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5259"/>
        </w:tabs>
        <w:ind w:left="5259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5403"/>
        </w:tabs>
        <w:ind w:left="5403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5547"/>
        </w:tabs>
        <w:ind w:left="5547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5691"/>
        </w:tabs>
        <w:ind w:left="5691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5835"/>
        </w:tabs>
        <w:ind w:left="5835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5979"/>
        </w:tabs>
        <w:ind w:left="5979" w:hanging="1584"/>
      </w:pPr>
    </w:lvl>
  </w:abstractNum>
  <w:abstractNum w:abstractNumId="24" w15:restartNumberingAfterBreak="0">
    <w:nsid w:val="3EAF7FC4"/>
    <w:multiLevelType w:val="hybridMultilevel"/>
    <w:tmpl w:val="A3A20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EE4434"/>
    <w:multiLevelType w:val="hybridMultilevel"/>
    <w:tmpl w:val="12DE41FA"/>
    <w:lvl w:ilvl="0" w:tplc="8FD0C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A43DD"/>
    <w:multiLevelType w:val="hybridMultilevel"/>
    <w:tmpl w:val="54408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181007"/>
    <w:multiLevelType w:val="multilevel"/>
    <w:tmpl w:val="3356F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9CF4E54"/>
    <w:multiLevelType w:val="hybridMultilevel"/>
    <w:tmpl w:val="59B83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B36382"/>
    <w:multiLevelType w:val="hybridMultilevel"/>
    <w:tmpl w:val="84402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40249"/>
    <w:multiLevelType w:val="hybridMultilevel"/>
    <w:tmpl w:val="97FE8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A4B2F47"/>
    <w:multiLevelType w:val="hybridMultilevel"/>
    <w:tmpl w:val="F410A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D2E0F"/>
    <w:multiLevelType w:val="hybridMultilevel"/>
    <w:tmpl w:val="62C8E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E66EB3"/>
    <w:multiLevelType w:val="hybridMultilevel"/>
    <w:tmpl w:val="33384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96368"/>
    <w:multiLevelType w:val="hybridMultilevel"/>
    <w:tmpl w:val="D4348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15650E"/>
    <w:multiLevelType w:val="hybridMultilevel"/>
    <w:tmpl w:val="12BAE578"/>
    <w:lvl w:ilvl="0" w:tplc="AF00143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D7646"/>
    <w:multiLevelType w:val="hybridMultilevel"/>
    <w:tmpl w:val="D698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D64775"/>
    <w:multiLevelType w:val="hybridMultilevel"/>
    <w:tmpl w:val="0F2E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420811"/>
    <w:multiLevelType w:val="multilevel"/>
    <w:tmpl w:val="14B24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8"/>
  </w:num>
  <w:num w:numId="3">
    <w:abstractNumId w:val="25"/>
  </w:num>
  <w:num w:numId="4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28"/>
  </w:num>
  <w:num w:numId="8">
    <w:abstractNumId w:val="10"/>
  </w:num>
  <w:num w:numId="9">
    <w:abstractNumId w:val="31"/>
  </w:num>
  <w:num w:numId="10">
    <w:abstractNumId w:val="30"/>
  </w:num>
  <w:num w:numId="11">
    <w:abstractNumId w:val="33"/>
  </w:num>
  <w:num w:numId="12">
    <w:abstractNumId w:val="34"/>
  </w:num>
  <w:num w:numId="13">
    <w:abstractNumId w:val="18"/>
  </w:num>
  <w:num w:numId="14">
    <w:abstractNumId w:val="16"/>
  </w:num>
  <w:num w:numId="15">
    <w:abstractNumId w:val="5"/>
  </w:num>
  <w:num w:numId="16">
    <w:abstractNumId w:val="15"/>
  </w:num>
  <w:num w:numId="17">
    <w:abstractNumId w:val="3"/>
  </w:num>
  <w:num w:numId="18">
    <w:abstractNumId w:val="36"/>
  </w:num>
  <w:num w:numId="19">
    <w:abstractNumId w:val="35"/>
  </w:num>
  <w:num w:numId="20">
    <w:abstractNumId w:val="8"/>
  </w:num>
  <w:num w:numId="21">
    <w:abstractNumId w:val="13"/>
  </w:num>
  <w:num w:numId="22">
    <w:abstractNumId w:val="29"/>
  </w:num>
  <w:num w:numId="23">
    <w:abstractNumId w:val="21"/>
  </w:num>
  <w:num w:numId="24">
    <w:abstractNumId w:val="14"/>
  </w:num>
  <w:num w:numId="25">
    <w:abstractNumId w:val="2"/>
  </w:num>
  <w:num w:numId="26">
    <w:abstractNumId w:val="9"/>
  </w:num>
  <w:num w:numId="27">
    <w:abstractNumId w:val="26"/>
  </w:num>
  <w:num w:numId="28">
    <w:abstractNumId w:val="6"/>
  </w:num>
  <w:num w:numId="29">
    <w:abstractNumId w:val="0"/>
  </w:num>
  <w:num w:numId="30">
    <w:abstractNumId w:val="17"/>
  </w:num>
  <w:num w:numId="31">
    <w:abstractNumId w:val="19"/>
  </w:num>
  <w:num w:numId="32">
    <w:abstractNumId w:val="22"/>
  </w:num>
  <w:num w:numId="33">
    <w:abstractNumId w:val="11"/>
  </w:num>
  <w:num w:numId="34">
    <w:abstractNumId w:val="24"/>
  </w:num>
  <w:num w:numId="35">
    <w:abstractNumId w:val="37"/>
  </w:num>
  <w:num w:numId="36">
    <w:abstractNumId w:val="32"/>
  </w:num>
  <w:num w:numId="37">
    <w:abstractNumId w:val="7"/>
  </w:num>
  <w:num w:numId="38">
    <w:abstractNumId w:val="20"/>
  </w:num>
  <w:num w:numId="39">
    <w:abstractNumId w:val="12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4E"/>
    <w:rsid w:val="00006C74"/>
    <w:rsid w:val="00013472"/>
    <w:rsid w:val="00014714"/>
    <w:rsid w:val="00022A32"/>
    <w:rsid w:val="00031971"/>
    <w:rsid w:val="0004043E"/>
    <w:rsid w:val="00051BBA"/>
    <w:rsid w:val="000619DD"/>
    <w:rsid w:val="00067EAF"/>
    <w:rsid w:val="00077670"/>
    <w:rsid w:val="00096255"/>
    <w:rsid w:val="000A3A7F"/>
    <w:rsid w:val="000B03C5"/>
    <w:rsid w:val="000B3C4E"/>
    <w:rsid w:val="000C2498"/>
    <w:rsid w:val="000C5D34"/>
    <w:rsid w:val="00116E94"/>
    <w:rsid w:val="0012781E"/>
    <w:rsid w:val="00147D7D"/>
    <w:rsid w:val="0015023D"/>
    <w:rsid w:val="001A0485"/>
    <w:rsid w:val="001B51A2"/>
    <w:rsid w:val="001E748A"/>
    <w:rsid w:val="002254E3"/>
    <w:rsid w:val="00261A0F"/>
    <w:rsid w:val="00265021"/>
    <w:rsid w:val="00284201"/>
    <w:rsid w:val="0028668E"/>
    <w:rsid w:val="002A6886"/>
    <w:rsid w:val="002B53A2"/>
    <w:rsid w:val="002D61E4"/>
    <w:rsid w:val="002E1BEE"/>
    <w:rsid w:val="002E1D96"/>
    <w:rsid w:val="002F5DF0"/>
    <w:rsid w:val="00335A70"/>
    <w:rsid w:val="003605FC"/>
    <w:rsid w:val="00372C3D"/>
    <w:rsid w:val="0037405F"/>
    <w:rsid w:val="00393464"/>
    <w:rsid w:val="003C5D96"/>
    <w:rsid w:val="003D49B2"/>
    <w:rsid w:val="003E0119"/>
    <w:rsid w:val="0041107F"/>
    <w:rsid w:val="00413242"/>
    <w:rsid w:val="0042204B"/>
    <w:rsid w:val="00466F9E"/>
    <w:rsid w:val="004958AF"/>
    <w:rsid w:val="004A53D4"/>
    <w:rsid w:val="00506E97"/>
    <w:rsid w:val="00557704"/>
    <w:rsid w:val="0057575D"/>
    <w:rsid w:val="00581546"/>
    <w:rsid w:val="005828E0"/>
    <w:rsid w:val="005B1C33"/>
    <w:rsid w:val="005D287A"/>
    <w:rsid w:val="005D683E"/>
    <w:rsid w:val="005F4EB6"/>
    <w:rsid w:val="006005B5"/>
    <w:rsid w:val="00603782"/>
    <w:rsid w:val="006215D5"/>
    <w:rsid w:val="00624B21"/>
    <w:rsid w:val="00633D74"/>
    <w:rsid w:val="00645F36"/>
    <w:rsid w:val="00646ACE"/>
    <w:rsid w:val="0065554E"/>
    <w:rsid w:val="0065647D"/>
    <w:rsid w:val="00666590"/>
    <w:rsid w:val="0066759A"/>
    <w:rsid w:val="00686E93"/>
    <w:rsid w:val="006A5211"/>
    <w:rsid w:val="006B0902"/>
    <w:rsid w:val="006B4600"/>
    <w:rsid w:val="006C412B"/>
    <w:rsid w:val="006E3FF6"/>
    <w:rsid w:val="00710557"/>
    <w:rsid w:val="007129CF"/>
    <w:rsid w:val="0072143B"/>
    <w:rsid w:val="007346B2"/>
    <w:rsid w:val="007363AD"/>
    <w:rsid w:val="00775AA7"/>
    <w:rsid w:val="007A0BF0"/>
    <w:rsid w:val="007B5836"/>
    <w:rsid w:val="007C1F88"/>
    <w:rsid w:val="007D6BBE"/>
    <w:rsid w:val="007F5B8D"/>
    <w:rsid w:val="0080091A"/>
    <w:rsid w:val="00816F37"/>
    <w:rsid w:val="00833590"/>
    <w:rsid w:val="00854642"/>
    <w:rsid w:val="008751A2"/>
    <w:rsid w:val="0087560B"/>
    <w:rsid w:val="00876CDC"/>
    <w:rsid w:val="008A64C8"/>
    <w:rsid w:val="008B3AE5"/>
    <w:rsid w:val="008E19A9"/>
    <w:rsid w:val="0091057E"/>
    <w:rsid w:val="009162F3"/>
    <w:rsid w:val="00920FF8"/>
    <w:rsid w:val="00926F31"/>
    <w:rsid w:val="009540AF"/>
    <w:rsid w:val="0095475D"/>
    <w:rsid w:val="0096012A"/>
    <w:rsid w:val="00966FC6"/>
    <w:rsid w:val="00967732"/>
    <w:rsid w:val="009A58BF"/>
    <w:rsid w:val="009F42F2"/>
    <w:rsid w:val="009F6306"/>
    <w:rsid w:val="00A23724"/>
    <w:rsid w:val="00A271BA"/>
    <w:rsid w:val="00A350C4"/>
    <w:rsid w:val="00A5482B"/>
    <w:rsid w:val="00A60AF9"/>
    <w:rsid w:val="00A8410C"/>
    <w:rsid w:val="00A85790"/>
    <w:rsid w:val="00A92FB4"/>
    <w:rsid w:val="00AA40F7"/>
    <w:rsid w:val="00AC03F6"/>
    <w:rsid w:val="00AD5801"/>
    <w:rsid w:val="00AE6ECD"/>
    <w:rsid w:val="00B009DE"/>
    <w:rsid w:val="00B15350"/>
    <w:rsid w:val="00B256EB"/>
    <w:rsid w:val="00B620E2"/>
    <w:rsid w:val="00B6245C"/>
    <w:rsid w:val="00B63A6C"/>
    <w:rsid w:val="00B666ED"/>
    <w:rsid w:val="00B72B4E"/>
    <w:rsid w:val="00BA1D02"/>
    <w:rsid w:val="00BA4BBC"/>
    <w:rsid w:val="00BB279C"/>
    <w:rsid w:val="00BC789A"/>
    <w:rsid w:val="00BE401C"/>
    <w:rsid w:val="00C153BF"/>
    <w:rsid w:val="00C32D48"/>
    <w:rsid w:val="00C60236"/>
    <w:rsid w:val="00C9677A"/>
    <w:rsid w:val="00CB3A04"/>
    <w:rsid w:val="00CC5315"/>
    <w:rsid w:val="00CD4C02"/>
    <w:rsid w:val="00CE4043"/>
    <w:rsid w:val="00CE455A"/>
    <w:rsid w:val="00CF2103"/>
    <w:rsid w:val="00CF5D7F"/>
    <w:rsid w:val="00D0465E"/>
    <w:rsid w:val="00D1155E"/>
    <w:rsid w:val="00D23023"/>
    <w:rsid w:val="00D536A1"/>
    <w:rsid w:val="00D63B2C"/>
    <w:rsid w:val="00D97F89"/>
    <w:rsid w:val="00DA69A1"/>
    <w:rsid w:val="00DB525D"/>
    <w:rsid w:val="00DC10DB"/>
    <w:rsid w:val="00E00437"/>
    <w:rsid w:val="00E13D1E"/>
    <w:rsid w:val="00E169F4"/>
    <w:rsid w:val="00E26887"/>
    <w:rsid w:val="00E815AE"/>
    <w:rsid w:val="00EA538F"/>
    <w:rsid w:val="00EB77E0"/>
    <w:rsid w:val="00EC4DC0"/>
    <w:rsid w:val="00EC5A31"/>
    <w:rsid w:val="00EC5B8B"/>
    <w:rsid w:val="00EC686C"/>
    <w:rsid w:val="00EC7EA9"/>
    <w:rsid w:val="00EE768B"/>
    <w:rsid w:val="00EF1241"/>
    <w:rsid w:val="00EF5D66"/>
    <w:rsid w:val="00F449DB"/>
    <w:rsid w:val="00F670D6"/>
    <w:rsid w:val="00F73AA7"/>
    <w:rsid w:val="00FE16B0"/>
    <w:rsid w:val="6889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176D2"/>
  <w15:docId w15:val="{8DE6E9CB-C3B9-4FED-84F8-FDE83345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B4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5D34"/>
    <w:pPr>
      <w:spacing w:before="240" w:line="348" w:lineRule="auto"/>
      <w:outlineLvl w:val="0"/>
    </w:pPr>
    <w:rPr>
      <w:rFonts w:ascii="Calibri" w:hAnsi="Calibri" w:cs="Calibri"/>
      <w:b/>
    </w:rPr>
  </w:style>
  <w:style w:type="paragraph" w:styleId="Nagwek2">
    <w:name w:val="heading 2"/>
    <w:basedOn w:val="Normalny"/>
    <w:next w:val="Normalny"/>
    <w:link w:val="Nagwek2Znak"/>
    <w:qFormat/>
    <w:rsid w:val="00B72B4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72B4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2B4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72B4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72B4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72B4E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72B4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72B4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C5D34"/>
    <w:rPr>
      <w:rFonts w:eastAsia="Times New Roman" w:cs="Calibri"/>
      <w:b/>
      <w:sz w:val="24"/>
      <w:szCs w:val="24"/>
    </w:rPr>
  </w:style>
  <w:style w:type="character" w:customStyle="1" w:styleId="Nagwek2Znak">
    <w:name w:val="Nagłówek 2 Znak"/>
    <w:link w:val="Nagwek2"/>
    <w:rsid w:val="00B72B4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2B4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rsid w:val="00B72B4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B72B4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B72B4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B72B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2B4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rsid w:val="00B72B4E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B72B4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677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967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C9677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B5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25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52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2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525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2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B525D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633D74"/>
    <w:rPr>
      <w:color w:val="0563C1"/>
      <w:u w:val="single"/>
    </w:rPr>
  </w:style>
  <w:style w:type="character" w:customStyle="1" w:styleId="markedcontent">
    <w:name w:val="markedcontent"/>
    <w:rsid w:val="0028668E"/>
  </w:style>
  <w:style w:type="character" w:customStyle="1" w:styleId="highlight">
    <w:name w:val="highlight"/>
    <w:rsid w:val="0028668E"/>
  </w:style>
  <w:style w:type="character" w:customStyle="1" w:styleId="UnresolvedMention">
    <w:name w:val="Unresolved Mention"/>
    <w:uiPriority w:val="99"/>
    <w:semiHidden/>
    <w:unhideWhenUsed/>
    <w:rsid w:val="0091057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E748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pc@umb.edu.pl" TargetMode="Externa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yperlink" Target="mailto:hpc@umb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ce95707-568c-4bd1-98dd-2540ed2bd35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1880013BDF145BEF84812DBAD735B" ma:contentTypeVersion="6" ma:contentTypeDescription="Create a new document." ma:contentTypeScope="" ma:versionID="c8e8f63c101c935b7edf0551f204d233">
  <xsd:schema xmlns:xsd="http://www.w3.org/2001/XMLSchema" xmlns:xs="http://www.w3.org/2001/XMLSchema" xmlns:p="http://schemas.microsoft.com/office/2006/metadata/properties" xmlns:ns3="fce95707-568c-4bd1-98dd-2540ed2bd351" xmlns:ns4="f7da90d3-a7ef-4a40-bb42-c88e023472af" targetNamespace="http://schemas.microsoft.com/office/2006/metadata/properties" ma:root="true" ma:fieldsID="0be5f15992be12313045d3e0e0275d7a" ns3:_="" ns4:_="">
    <xsd:import namespace="fce95707-568c-4bd1-98dd-2540ed2bd351"/>
    <xsd:import namespace="f7da90d3-a7ef-4a40-bb42-c88e023472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95707-568c-4bd1-98dd-2540ed2bd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a90d3-a7ef-4a40-bb42-c88e023472a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152E60-3EF8-4CFB-BD44-2C71EFFFEF04}">
  <ds:schemaRefs>
    <ds:schemaRef ds:uri="http://schemas.microsoft.com/office/2006/metadata/properties"/>
    <ds:schemaRef ds:uri="http://schemas.microsoft.com/office/infopath/2007/PartnerControls"/>
    <ds:schemaRef ds:uri="fce95707-568c-4bd1-98dd-2540ed2bd351"/>
  </ds:schemaRefs>
</ds:datastoreItem>
</file>

<file path=customXml/itemProps2.xml><?xml version="1.0" encoding="utf-8"?>
<ds:datastoreItem xmlns:ds="http://schemas.openxmlformats.org/officeDocument/2006/customXml" ds:itemID="{CE6A4956-8D97-419B-B008-152C84111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e95707-568c-4bd1-98dd-2540ed2bd351"/>
    <ds:schemaRef ds:uri="f7da90d3-a7ef-4a40-bb42-c88e023472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7E6AF9-CDD2-4FC8-B95B-BBE590C2FB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43.2023 zał.1 Procedura nadawania uprawnień do przetwarzania danych osobowych w infrastrukturze  Centrum Bioinformatyki i Analizy Danych (CBiAD) w Uniwersytecie Medycznym w Białymstoku</vt:lpstr>
    </vt:vector>
  </TitlesOfParts>
  <Company>Uniwesytet Medyczny w Bialymstoku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43.2023 appx. Procedure for granting authorization to process personal data in the infrastructure of the Centre for Bioinformatics and Data Analysis (CBiAD) at the Medical University of Bialystok</dc:title>
  <dc:subject/>
  <dc:creator>Mateusz Bondarczuk</dc:creator>
  <cp:keywords/>
  <dc:description/>
  <cp:lastModifiedBy>Emilia Snarska</cp:lastModifiedBy>
  <cp:revision>2</cp:revision>
  <cp:lastPrinted>2023-05-10T08:31:00Z</cp:lastPrinted>
  <dcterms:created xsi:type="dcterms:W3CDTF">2023-06-01T11:54:00Z</dcterms:created>
  <dcterms:modified xsi:type="dcterms:W3CDTF">2023-06-01T11:54:00Z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0x010100AEA1880013BDF145BEF84812DBAD735B</vt:lpwstr>
  </property>
</Properties>
</file>