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111FB" w14:textId="77777777" w:rsidR="006E2039" w:rsidRPr="0098512E" w:rsidRDefault="006E2039" w:rsidP="008F1622">
      <w:pPr>
        <w:tabs>
          <w:tab w:val="right" w:leader="dot" w:pos="8505"/>
        </w:tabs>
        <w:spacing w:line="336" w:lineRule="auto"/>
        <w:rPr>
          <w:rFonts w:ascii="Calibri" w:hAnsi="Calibri" w:cs="Calibri"/>
          <w:b/>
          <w:sz w:val="22"/>
          <w:szCs w:val="22"/>
          <w:u w:val="single"/>
          <w:lang w:val="en-US"/>
        </w:rPr>
      </w:pPr>
      <w:r>
        <w:rPr>
          <w:rFonts w:ascii="Calibri" w:hAnsi="Calibri" w:cs="Calibri"/>
          <w:b/>
          <w:bCs/>
          <w:sz w:val="22"/>
          <w:szCs w:val="22"/>
          <w:u w:val="single"/>
          <w:lang w:val="en-GB"/>
        </w:rPr>
        <w:t>TEMPLATE</w:t>
      </w:r>
    </w:p>
    <w:p w14:paraId="035B9AE3" w14:textId="06BB7F15" w:rsidR="00B50FAB" w:rsidRPr="00344A05" w:rsidRDefault="00B50FAB" w:rsidP="008F1622">
      <w:pPr>
        <w:tabs>
          <w:tab w:val="left" w:pos="10206"/>
        </w:tabs>
        <w:spacing w:after="240" w:line="336" w:lineRule="auto"/>
        <w:rPr>
          <w:rFonts w:asciiTheme="minorHAnsi" w:hAnsiTheme="minorHAnsi" w:cstheme="minorHAnsi"/>
          <w:b/>
          <w:sz w:val="22"/>
          <w:szCs w:val="22"/>
          <w:lang w:val="en-US"/>
        </w:rPr>
      </w:pPr>
      <w:r>
        <w:rPr>
          <w:rFonts w:asciiTheme="minorHAnsi" w:hAnsiTheme="minorHAnsi" w:cstheme="minorHAnsi"/>
          <w:b/>
          <w:bCs/>
          <w:sz w:val="22"/>
          <w:szCs w:val="22"/>
          <w:lang w:val="en-GB"/>
        </w:rPr>
        <w:t>Contract no. _/_</w:t>
      </w:r>
      <w:bookmarkStart w:id="0" w:name="_GoBack"/>
      <w:bookmarkEnd w:id="0"/>
      <w:r>
        <w:rPr>
          <w:rFonts w:asciiTheme="minorHAnsi" w:hAnsiTheme="minorHAnsi" w:cstheme="minorHAnsi"/>
          <w:sz w:val="22"/>
          <w:szCs w:val="22"/>
          <w:lang w:val="en-GB"/>
        </w:rPr>
        <w:br/>
      </w:r>
      <w:r>
        <w:rPr>
          <w:rFonts w:asciiTheme="minorHAnsi" w:hAnsiTheme="minorHAnsi" w:cstheme="minorHAnsi"/>
          <w:b/>
          <w:bCs/>
          <w:sz w:val="22"/>
          <w:szCs w:val="22"/>
          <w:lang w:val="en-GB"/>
        </w:rPr>
        <w:t>for paid conduct of the procedure for conferring a Doctoral degree (with the candidate / the unit emp</w:t>
      </w:r>
      <w:r w:rsidR="00344A05">
        <w:rPr>
          <w:rFonts w:asciiTheme="minorHAnsi" w:hAnsiTheme="minorHAnsi" w:cstheme="minorHAnsi"/>
          <w:b/>
          <w:bCs/>
          <w:sz w:val="22"/>
          <w:szCs w:val="22"/>
          <w:lang w:val="en-GB"/>
        </w:rPr>
        <w:t>loying the candidate)</w:t>
      </w:r>
    </w:p>
    <w:p w14:paraId="6C519BA0" w14:textId="77777777" w:rsidR="00FB1D53" w:rsidRPr="00344A05" w:rsidRDefault="00FB1D53" w:rsidP="008F1622">
      <w:pPr>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Concluded on ..............................................., in Bialystok between:</w:t>
      </w:r>
    </w:p>
    <w:p w14:paraId="11CC4CED" w14:textId="77777777" w:rsidR="006908F3" w:rsidRPr="00344A05" w:rsidRDefault="00A0563C" w:rsidP="008F1622">
      <w:pPr>
        <w:tabs>
          <w:tab w:val="right" w:leader="dot" w:pos="8505"/>
        </w:tabs>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 xml:space="preserve">first and last name of the candidate </w:t>
      </w:r>
      <w:r>
        <w:rPr>
          <w:rFonts w:asciiTheme="minorHAnsi" w:hAnsiTheme="minorHAnsi" w:cstheme="minorHAnsi"/>
          <w:sz w:val="22"/>
          <w:szCs w:val="22"/>
          <w:lang w:val="en-GB"/>
        </w:rPr>
        <w:tab/>
      </w:r>
    </w:p>
    <w:p w14:paraId="65AFE70E" w14:textId="77777777" w:rsidR="00FB1D53" w:rsidRPr="00344A05" w:rsidRDefault="006908F3" w:rsidP="008F1622">
      <w:pPr>
        <w:tabs>
          <w:tab w:val="right" w:leader="dot" w:pos="8505"/>
        </w:tabs>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 xml:space="preserve">name of the unit employing the candidate: </w:t>
      </w:r>
      <w:r>
        <w:rPr>
          <w:rFonts w:asciiTheme="minorHAnsi" w:hAnsiTheme="minorHAnsi" w:cstheme="minorHAnsi"/>
          <w:sz w:val="22"/>
          <w:szCs w:val="22"/>
          <w:lang w:val="en-GB"/>
        </w:rPr>
        <w:tab/>
      </w:r>
    </w:p>
    <w:p w14:paraId="283FDE74" w14:textId="7CB75A6B" w:rsidR="00FB1D53" w:rsidRPr="00344A05" w:rsidRDefault="006908F3" w:rsidP="008F1622">
      <w:pPr>
        <w:tabs>
          <w:tab w:val="right" w:leader="dot" w:pos="8505"/>
        </w:tabs>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address</w:t>
      </w:r>
      <w:r w:rsidR="00057F7A">
        <w:rPr>
          <w:rFonts w:asciiTheme="minorHAnsi" w:hAnsiTheme="minorHAnsi" w:cstheme="minorHAnsi"/>
          <w:sz w:val="22"/>
          <w:szCs w:val="22"/>
          <w:lang w:val="en-GB"/>
        </w:rPr>
        <w:t xml:space="preserve"> / head office</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p>
    <w:p w14:paraId="3545BDDD" w14:textId="77777777" w:rsidR="00FB1D53" w:rsidRPr="00344A05" w:rsidRDefault="00FB1D53" w:rsidP="008F1622">
      <w:pPr>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further referred to as the "Ordering Party"</w:t>
      </w:r>
    </w:p>
    <w:p w14:paraId="4F91AA31" w14:textId="77777777" w:rsidR="006908F3" w:rsidRPr="00344A05" w:rsidRDefault="006908F3" w:rsidP="008F1622">
      <w:pPr>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and</w:t>
      </w:r>
    </w:p>
    <w:p w14:paraId="223AEAA7" w14:textId="69EED755" w:rsidR="00FB1D53" w:rsidRPr="00E52353" w:rsidRDefault="00FB1D53" w:rsidP="008F1622">
      <w:pPr>
        <w:spacing w:line="336" w:lineRule="auto"/>
        <w:rPr>
          <w:rFonts w:asciiTheme="minorHAnsi" w:hAnsiTheme="minorHAnsi" w:cstheme="minorHAnsi"/>
          <w:sz w:val="22"/>
          <w:szCs w:val="22"/>
        </w:rPr>
      </w:pPr>
      <w:r>
        <w:rPr>
          <w:rFonts w:asciiTheme="minorHAnsi" w:hAnsiTheme="minorHAnsi" w:cstheme="minorHAnsi"/>
          <w:sz w:val="22"/>
          <w:szCs w:val="22"/>
          <w:lang w:val="en-GB"/>
        </w:rPr>
        <w:t xml:space="preserve">Medical University of Bialystok, ul. </w:t>
      </w:r>
      <w:r w:rsidRPr="00344A05">
        <w:rPr>
          <w:rFonts w:asciiTheme="minorHAnsi" w:hAnsiTheme="minorHAnsi" w:cstheme="minorHAnsi"/>
          <w:sz w:val="22"/>
          <w:szCs w:val="22"/>
        </w:rPr>
        <w:t xml:space="preserve">Jana </w:t>
      </w:r>
      <w:r w:rsidR="00057F7A">
        <w:rPr>
          <w:rFonts w:asciiTheme="minorHAnsi" w:hAnsiTheme="minorHAnsi" w:cstheme="minorHAnsi"/>
          <w:sz w:val="22"/>
          <w:szCs w:val="22"/>
        </w:rPr>
        <w:t>Kilińskiego 1, 15-089 Białystok,</w:t>
      </w:r>
    </w:p>
    <w:p w14:paraId="4948BBC5" w14:textId="77777777" w:rsidR="006908F3" w:rsidRPr="00E52353" w:rsidRDefault="006908F3" w:rsidP="008F1622">
      <w:pPr>
        <w:pStyle w:val="Tekstpodstawowy21"/>
        <w:tabs>
          <w:tab w:val="right" w:leader="dot" w:pos="8505"/>
        </w:tabs>
        <w:spacing w:line="336" w:lineRule="auto"/>
        <w:jc w:val="left"/>
        <w:rPr>
          <w:rFonts w:asciiTheme="minorHAnsi" w:hAnsiTheme="minorHAnsi" w:cstheme="minorHAnsi"/>
          <w:sz w:val="22"/>
          <w:szCs w:val="22"/>
        </w:rPr>
      </w:pPr>
      <w:r w:rsidRPr="00057F7A">
        <w:rPr>
          <w:rFonts w:asciiTheme="minorHAnsi" w:hAnsiTheme="minorHAnsi" w:cstheme="minorHAnsi"/>
          <w:sz w:val="22"/>
          <w:szCs w:val="22"/>
        </w:rPr>
        <w:t xml:space="preserve">represented </w:t>
      </w:r>
      <w:r w:rsidRPr="00344A05">
        <w:rPr>
          <w:rFonts w:asciiTheme="minorHAnsi" w:hAnsiTheme="minorHAnsi" w:cstheme="minorHAnsi"/>
          <w:sz w:val="22"/>
          <w:szCs w:val="22"/>
        </w:rPr>
        <w:t>by:</w:t>
      </w:r>
      <w:r w:rsidRPr="00344A05">
        <w:rPr>
          <w:rFonts w:asciiTheme="minorHAnsi" w:hAnsiTheme="minorHAnsi" w:cstheme="minorHAnsi"/>
          <w:sz w:val="22"/>
          <w:szCs w:val="22"/>
        </w:rPr>
        <w:tab/>
      </w:r>
    </w:p>
    <w:p w14:paraId="065849C4" w14:textId="0AC7C4E7" w:rsidR="00FB1D53" w:rsidRPr="00344A05" w:rsidRDefault="00FB1D53" w:rsidP="008F1622">
      <w:pPr>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hereinafter referred to as “the University”</w:t>
      </w:r>
      <w:r w:rsidR="00057F7A">
        <w:rPr>
          <w:rFonts w:asciiTheme="minorHAnsi" w:hAnsiTheme="minorHAnsi" w:cstheme="minorHAnsi"/>
          <w:sz w:val="22"/>
          <w:szCs w:val="22"/>
          <w:lang w:val="en-GB"/>
        </w:rPr>
        <w:t>,</w:t>
      </w:r>
    </w:p>
    <w:p w14:paraId="0412857A" w14:textId="77777777" w:rsidR="001B408D" w:rsidRPr="00344A05" w:rsidRDefault="001B408D" w:rsidP="008F1622">
      <w:pPr>
        <w:pStyle w:val="Nagwek2"/>
        <w:spacing w:before="0" w:line="336" w:lineRule="auto"/>
        <w:rPr>
          <w:lang w:val="en-US"/>
        </w:rPr>
      </w:pPr>
      <w:r>
        <w:rPr>
          <w:bCs/>
          <w:lang w:val="en-GB"/>
        </w:rPr>
        <w:t>§ 1</w:t>
      </w:r>
    </w:p>
    <w:p w14:paraId="55973F4F" w14:textId="4F362B91" w:rsidR="00022606" w:rsidRPr="00344A05" w:rsidRDefault="00022606" w:rsidP="008F1622">
      <w:pPr>
        <w:tabs>
          <w:tab w:val="right" w:leader="dot" w:pos="8505"/>
          <w:tab w:val="left" w:pos="10206"/>
        </w:tabs>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The Ordering Party commissions and the University undertakes to carry out the procedure for conferring the Doctoral degree of Mr./Ms.:</w:t>
      </w:r>
      <w:r w:rsidR="0098512E">
        <w:rPr>
          <w:rFonts w:asciiTheme="minorHAnsi" w:hAnsiTheme="minorHAnsi" w:cstheme="minorHAnsi"/>
          <w:sz w:val="22"/>
          <w:szCs w:val="22"/>
          <w:lang w:val="en-GB"/>
        </w:rPr>
        <w:t xml:space="preserve"> ………………………………………………………………….</w:t>
      </w:r>
    </w:p>
    <w:p w14:paraId="26649710" w14:textId="77777777" w:rsidR="00265F52" w:rsidRPr="00344A05" w:rsidRDefault="00280083" w:rsidP="008F1622">
      <w:pPr>
        <w:pStyle w:val="Nagwek2"/>
        <w:spacing w:before="0" w:line="336" w:lineRule="auto"/>
        <w:rPr>
          <w:lang w:val="en-US"/>
        </w:rPr>
      </w:pPr>
      <w:r>
        <w:rPr>
          <w:bCs/>
          <w:lang w:val="en-GB"/>
        </w:rPr>
        <w:t>§ 2</w:t>
      </w:r>
    </w:p>
    <w:p w14:paraId="7C0400B9" w14:textId="60A0D613" w:rsidR="00022606" w:rsidRPr="00344A05" w:rsidRDefault="00022606" w:rsidP="008F1622">
      <w:pPr>
        <w:tabs>
          <w:tab w:val="left" w:pos="10206"/>
        </w:tabs>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 xml:space="preserve">The Ordering Party undertakes to cover the costs of conducting the procedure for conferring a </w:t>
      </w:r>
      <w:r w:rsidR="0098512E">
        <w:rPr>
          <w:rFonts w:asciiTheme="minorHAnsi" w:hAnsiTheme="minorHAnsi" w:cstheme="minorHAnsi"/>
          <w:sz w:val="22"/>
          <w:szCs w:val="22"/>
          <w:lang w:val="en-GB"/>
        </w:rPr>
        <w:t>D</w:t>
      </w:r>
      <w:r>
        <w:rPr>
          <w:rFonts w:asciiTheme="minorHAnsi" w:hAnsiTheme="minorHAnsi" w:cstheme="minorHAnsi"/>
          <w:sz w:val="22"/>
          <w:szCs w:val="22"/>
          <w:lang w:val="en-GB"/>
        </w:rPr>
        <w:t>octoral degree, which consists of:</w:t>
      </w:r>
    </w:p>
    <w:p w14:paraId="409CB716" w14:textId="24D73E79" w:rsidR="00AB0E93" w:rsidRPr="00344A05" w:rsidRDefault="009D487C" w:rsidP="00735C54">
      <w:pPr>
        <w:numPr>
          <w:ilvl w:val="0"/>
          <w:numId w:val="13"/>
        </w:numPr>
        <w:tabs>
          <w:tab w:val="right" w:leader="dot" w:pos="10206"/>
        </w:tabs>
        <w:spacing w:line="336" w:lineRule="auto"/>
        <w:ind w:left="992" w:hanging="425"/>
        <w:rPr>
          <w:rFonts w:asciiTheme="minorHAnsi" w:hAnsiTheme="minorHAnsi" w:cstheme="minorHAnsi"/>
          <w:sz w:val="22"/>
          <w:szCs w:val="22"/>
          <w:lang w:val="en-US"/>
        </w:rPr>
      </w:pPr>
      <w:r>
        <w:rPr>
          <w:rFonts w:asciiTheme="minorHAnsi" w:hAnsiTheme="minorHAnsi" w:cstheme="minorHAnsi"/>
          <w:sz w:val="22"/>
          <w:szCs w:val="22"/>
          <w:lang w:val="en-GB"/>
        </w:rPr>
        <w:t xml:space="preserve">remuneration of the supervisor in the amount of 83% of the minimum basic monthly salary for a professor at a public university specified in the regulations issued on the basis of Art. 137 sec. 2 of 20 July 2018 - Law on Higher Education and Science (i.e. Journal of Laws of 2022, item 574, as amended), hereinafter referred to as "professor's remuneration", i.e. on the date of conclusion of the contract: PLN </w:t>
      </w:r>
      <w:r>
        <w:rPr>
          <w:rFonts w:asciiTheme="minorHAnsi" w:hAnsiTheme="minorHAnsi" w:cstheme="minorHAnsi"/>
          <w:sz w:val="22"/>
          <w:szCs w:val="22"/>
          <w:lang w:val="en-GB"/>
        </w:rPr>
        <w:tab/>
        <w:t xml:space="preserve"> (each),</w:t>
      </w:r>
    </w:p>
    <w:p w14:paraId="5728A6D3" w14:textId="1813F51B" w:rsidR="00E85282" w:rsidRPr="00344A05" w:rsidRDefault="00E85282" w:rsidP="00735C54">
      <w:pPr>
        <w:numPr>
          <w:ilvl w:val="0"/>
          <w:numId w:val="13"/>
        </w:numPr>
        <w:tabs>
          <w:tab w:val="right" w:leader="dot" w:pos="10206"/>
        </w:tabs>
        <w:spacing w:line="336" w:lineRule="auto"/>
        <w:ind w:left="992" w:hanging="425"/>
        <w:rPr>
          <w:rFonts w:asciiTheme="minorHAnsi" w:hAnsiTheme="minorHAnsi" w:cstheme="minorHAnsi"/>
          <w:sz w:val="22"/>
          <w:szCs w:val="22"/>
          <w:lang w:val="en-US"/>
        </w:rPr>
      </w:pPr>
      <w:r>
        <w:rPr>
          <w:rFonts w:asciiTheme="minorHAnsi" w:hAnsiTheme="minorHAnsi" w:cstheme="minorHAnsi"/>
          <w:sz w:val="22"/>
          <w:szCs w:val="22"/>
          <w:lang w:val="en-GB"/>
        </w:rPr>
        <w:t xml:space="preserve">remuneration of the assistant supervisor in the amount of 50% of the professor's remuneration, i.e. on the date of conclusion of the contract: PLN </w:t>
      </w:r>
      <w:r>
        <w:rPr>
          <w:rFonts w:asciiTheme="minorHAnsi" w:hAnsiTheme="minorHAnsi" w:cstheme="minorHAnsi"/>
          <w:sz w:val="22"/>
          <w:szCs w:val="22"/>
          <w:lang w:val="en-GB"/>
        </w:rPr>
        <w:tab/>
        <w:t xml:space="preserve"> (each),</w:t>
      </w:r>
    </w:p>
    <w:p w14:paraId="4D94D2B4" w14:textId="1541899F" w:rsidR="00AB0E93" w:rsidRPr="00344A05" w:rsidRDefault="009D487C" w:rsidP="00735C54">
      <w:pPr>
        <w:numPr>
          <w:ilvl w:val="0"/>
          <w:numId w:val="13"/>
        </w:numPr>
        <w:tabs>
          <w:tab w:val="right" w:leader="dot" w:pos="10206"/>
        </w:tabs>
        <w:spacing w:line="336" w:lineRule="auto"/>
        <w:ind w:left="992" w:hanging="425"/>
        <w:rPr>
          <w:rFonts w:asciiTheme="minorHAnsi" w:hAnsiTheme="minorHAnsi" w:cstheme="minorHAnsi"/>
          <w:sz w:val="22"/>
          <w:szCs w:val="22"/>
          <w:lang w:val="en-US"/>
        </w:rPr>
      </w:pPr>
      <w:r>
        <w:rPr>
          <w:rFonts w:asciiTheme="minorHAnsi" w:hAnsiTheme="minorHAnsi" w:cstheme="minorHAnsi"/>
          <w:sz w:val="22"/>
          <w:szCs w:val="22"/>
          <w:lang w:val="en-GB"/>
        </w:rPr>
        <w:t>remuneration of reviewers in amount: 27% of the professor's remuneration, i.e. on the date of conclusion of the contract:  PLN</w:t>
      </w:r>
      <w:r>
        <w:rPr>
          <w:rFonts w:asciiTheme="minorHAnsi" w:hAnsiTheme="minorHAnsi" w:cstheme="minorHAnsi"/>
          <w:sz w:val="22"/>
          <w:szCs w:val="22"/>
          <w:lang w:val="en-GB"/>
        </w:rPr>
        <w:tab/>
      </w:r>
      <w:r w:rsidR="0098512E">
        <w:rPr>
          <w:rFonts w:asciiTheme="minorHAnsi" w:hAnsiTheme="minorHAnsi" w:cstheme="minorHAnsi"/>
          <w:sz w:val="22"/>
          <w:szCs w:val="22"/>
          <w:lang w:val="en-GB"/>
        </w:rPr>
        <w:t xml:space="preserve"> </w:t>
      </w:r>
      <w:r>
        <w:rPr>
          <w:rFonts w:asciiTheme="minorHAnsi" w:hAnsiTheme="minorHAnsi" w:cstheme="minorHAnsi"/>
          <w:sz w:val="22"/>
          <w:szCs w:val="22"/>
          <w:lang w:val="en-GB"/>
        </w:rPr>
        <w:t>(each),</w:t>
      </w:r>
    </w:p>
    <w:p w14:paraId="61642C5D" w14:textId="77777777" w:rsidR="009D487C" w:rsidRPr="00344A05" w:rsidRDefault="00655447" w:rsidP="008F1622">
      <w:pPr>
        <w:numPr>
          <w:ilvl w:val="0"/>
          <w:numId w:val="13"/>
        </w:numPr>
        <w:spacing w:line="336" w:lineRule="auto"/>
        <w:ind w:left="993" w:hanging="426"/>
        <w:rPr>
          <w:rFonts w:asciiTheme="minorHAnsi" w:hAnsiTheme="minorHAnsi" w:cstheme="minorHAnsi"/>
          <w:sz w:val="22"/>
          <w:szCs w:val="22"/>
          <w:lang w:val="en-US"/>
        </w:rPr>
      </w:pPr>
      <w:r>
        <w:rPr>
          <w:rFonts w:asciiTheme="minorHAnsi" w:hAnsiTheme="minorHAnsi" w:cstheme="minorHAnsi"/>
          <w:sz w:val="22"/>
          <w:szCs w:val="22"/>
          <w:lang w:val="en-GB"/>
        </w:rPr>
        <w:t>derivatives from the remuneration specified in point a) - c) charged in accordance with applicable regulations,</w:t>
      </w:r>
    </w:p>
    <w:p w14:paraId="5B06D7FB" w14:textId="77777777" w:rsidR="00AA7611" w:rsidRPr="00344A05" w:rsidRDefault="00AA7611" w:rsidP="008F1622">
      <w:pPr>
        <w:numPr>
          <w:ilvl w:val="0"/>
          <w:numId w:val="13"/>
        </w:numPr>
        <w:spacing w:line="336" w:lineRule="auto"/>
        <w:ind w:left="993" w:hanging="426"/>
        <w:rPr>
          <w:rFonts w:asciiTheme="minorHAnsi" w:hAnsiTheme="minorHAnsi" w:cstheme="minorHAnsi"/>
          <w:sz w:val="22"/>
          <w:szCs w:val="22"/>
          <w:lang w:val="en-US"/>
        </w:rPr>
      </w:pPr>
      <w:r>
        <w:rPr>
          <w:rFonts w:asciiTheme="minorHAnsi" w:hAnsiTheme="minorHAnsi" w:cstheme="minorHAnsi"/>
          <w:sz w:val="22"/>
          <w:szCs w:val="22"/>
          <w:lang w:val="en-GB"/>
        </w:rPr>
        <w:t xml:space="preserve">costs of the exam confirming the achievement of learning outcomes for qualifications at level 8 of the PQF </w:t>
      </w:r>
      <w:r>
        <w:rPr>
          <w:rFonts w:asciiTheme="minorHAnsi" w:hAnsiTheme="minorHAnsi" w:cstheme="minorHAnsi"/>
          <w:sz w:val="22"/>
          <w:szCs w:val="22"/>
          <w:lang w:val="en-GB"/>
        </w:rPr>
        <w:br/>
        <w:t>in the amount of PLN 1,200.</w:t>
      </w:r>
    </w:p>
    <w:p w14:paraId="30989D1D" w14:textId="77777777" w:rsidR="009D487C" w:rsidRPr="00344A05" w:rsidRDefault="009D487C" w:rsidP="008F1622">
      <w:pPr>
        <w:numPr>
          <w:ilvl w:val="0"/>
          <w:numId w:val="13"/>
        </w:numPr>
        <w:spacing w:line="336" w:lineRule="auto"/>
        <w:ind w:left="993" w:hanging="426"/>
        <w:rPr>
          <w:rFonts w:asciiTheme="minorHAnsi" w:hAnsiTheme="minorHAnsi" w:cstheme="minorHAnsi"/>
          <w:sz w:val="22"/>
          <w:szCs w:val="22"/>
          <w:lang w:val="en-US"/>
        </w:rPr>
      </w:pPr>
      <w:r>
        <w:rPr>
          <w:rFonts w:asciiTheme="minorHAnsi" w:hAnsiTheme="minorHAnsi" w:cstheme="minorHAnsi"/>
          <w:sz w:val="22"/>
          <w:szCs w:val="22"/>
          <w:lang w:val="en-GB"/>
        </w:rPr>
        <w:t>travel and accommodation costs of reviewers according to their actual amount, determined in accordance with the rules for settling business travel costs,</w:t>
      </w:r>
    </w:p>
    <w:p w14:paraId="69D02EB6" w14:textId="77777777" w:rsidR="009D487C" w:rsidRPr="00344A05" w:rsidRDefault="00AA7611" w:rsidP="008F1622">
      <w:pPr>
        <w:numPr>
          <w:ilvl w:val="0"/>
          <w:numId w:val="13"/>
        </w:numPr>
        <w:spacing w:line="336" w:lineRule="auto"/>
        <w:ind w:left="993" w:hanging="426"/>
        <w:rPr>
          <w:rFonts w:asciiTheme="minorHAnsi" w:hAnsiTheme="minorHAnsi" w:cstheme="minorHAnsi"/>
          <w:sz w:val="22"/>
          <w:szCs w:val="22"/>
          <w:lang w:val="en-US"/>
        </w:rPr>
      </w:pPr>
      <w:r>
        <w:rPr>
          <w:rFonts w:asciiTheme="minorHAnsi" w:hAnsiTheme="minorHAnsi" w:cstheme="minorHAnsi"/>
          <w:sz w:val="22"/>
          <w:szCs w:val="22"/>
          <w:lang w:val="en-GB"/>
        </w:rPr>
        <w:t>administrative costs in the amount of PLN 1,000.</w:t>
      </w:r>
    </w:p>
    <w:p w14:paraId="729CD966" w14:textId="77777777" w:rsidR="009D487C" w:rsidRPr="00344A05" w:rsidRDefault="00FA1FFF" w:rsidP="008F1622">
      <w:pPr>
        <w:pStyle w:val="Nagwek2"/>
        <w:spacing w:before="0" w:line="336" w:lineRule="auto"/>
        <w:rPr>
          <w:lang w:val="en-US"/>
        </w:rPr>
      </w:pPr>
      <w:r>
        <w:rPr>
          <w:bCs/>
          <w:lang w:val="en-GB"/>
        </w:rPr>
        <w:t>§ 3</w:t>
      </w:r>
    </w:p>
    <w:p w14:paraId="064D23BB" w14:textId="537697E5" w:rsidR="005067D3" w:rsidRPr="00344A05" w:rsidRDefault="005067D3" w:rsidP="008F1622">
      <w:pPr>
        <w:widowControl w:val="0"/>
        <w:autoSpaceDE w:val="0"/>
        <w:autoSpaceDN w:val="0"/>
        <w:adjustRightInd w:val="0"/>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The fee should be paid in three tranches:</w:t>
      </w:r>
    </w:p>
    <w:p w14:paraId="58607235" w14:textId="2D85ABC1" w:rsidR="005067D3" w:rsidRPr="00344A05" w:rsidRDefault="002C0DD0" w:rsidP="00E42359">
      <w:pPr>
        <w:numPr>
          <w:ilvl w:val="0"/>
          <w:numId w:val="18"/>
        </w:numPr>
        <w:spacing w:line="336" w:lineRule="auto"/>
        <w:ind w:left="426"/>
        <w:rPr>
          <w:rFonts w:asciiTheme="minorHAnsi" w:hAnsiTheme="minorHAnsi" w:cstheme="minorHAnsi"/>
          <w:sz w:val="22"/>
          <w:szCs w:val="22"/>
          <w:lang w:val="en-US"/>
        </w:rPr>
      </w:pPr>
      <w:r>
        <w:rPr>
          <w:rFonts w:asciiTheme="minorHAnsi" w:hAnsiTheme="minorHAnsi" w:cstheme="minorHAnsi"/>
          <w:sz w:val="22"/>
          <w:szCs w:val="22"/>
          <w:lang w:val="en-GB"/>
        </w:rPr>
        <w:lastRenderedPageBreak/>
        <w:t>fee for administrative activities - before submitting the first application in the procedure for conferring a doctoral degree.</w:t>
      </w:r>
      <w:r w:rsidR="0098512E">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The confirmation of payment of the fee constitutes an obligatory attachment to the application.</w:t>
      </w:r>
    </w:p>
    <w:p w14:paraId="11300E68" w14:textId="316BEAAB" w:rsidR="00E42359" w:rsidRPr="00344A05" w:rsidRDefault="00E42359" w:rsidP="00E42359">
      <w:pPr>
        <w:numPr>
          <w:ilvl w:val="0"/>
          <w:numId w:val="18"/>
        </w:numPr>
        <w:spacing w:line="336" w:lineRule="auto"/>
        <w:ind w:left="426"/>
        <w:rPr>
          <w:rFonts w:asciiTheme="minorHAnsi" w:hAnsiTheme="minorHAnsi" w:cstheme="minorHAnsi"/>
          <w:sz w:val="22"/>
          <w:szCs w:val="22"/>
          <w:lang w:val="en-US"/>
        </w:rPr>
      </w:pPr>
      <w:r>
        <w:rPr>
          <w:rFonts w:asciiTheme="minorHAnsi" w:hAnsiTheme="minorHAnsi" w:cstheme="minorHAnsi"/>
          <w:sz w:val="22"/>
          <w:szCs w:val="22"/>
          <w:lang w:val="en-GB"/>
        </w:rPr>
        <w:t>fee for the exam confirming the achievement of learning outcomes for qualifications at level 8 of PQF (if applicable to the candidate) - before taking the exam.</w:t>
      </w:r>
    </w:p>
    <w:p w14:paraId="2E7B41B1" w14:textId="265B36A8" w:rsidR="005067D3" w:rsidRPr="00344A05" w:rsidRDefault="002C0DD0" w:rsidP="00E37D42">
      <w:pPr>
        <w:numPr>
          <w:ilvl w:val="0"/>
          <w:numId w:val="18"/>
        </w:numPr>
        <w:spacing w:line="336" w:lineRule="auto"/>
        <w:ind w:left="426"/>
        <w:rPr>
          <w:rFonts w:asciiTheme="minorHAnsi" w:hAnsiTheme="minorHAnsi" w:cstheme="minorHAnsi"/>
          <w:sz w:val="22"/>
          <w:szCs w:val="22"/>
          <w:lang w:val="en-US"/>
        </w:rPr>
      </w:pPr>
      <w:r>
        <w:rPr>
          <w:rFonts w:asciiTheme="minorHAnsi" w:hAnsiTheme="minorHAnsi" w:cstheme="minorHAnsi"/>
          <w:sz w:val="22"/>
          <w:szCs w:val="22"/>
          <w:lang w:val="en-GB"/>
        </w:rPr>
        <w:t xml:space="preserve">fee in the remaining part - after the Senate appoints reviewers to the University's bank account at Bank Pekao S.A. Branch in Białystok: </w:t>
      </w:r>
      <w:r>
        <w:rPr>
          <w:rFonts w:asciiTheme="minorHAnsi" w:hAnsiTheme="minorHAnsi" w:cstheme="minorHAnsi"/>
          <w:sz w:val="22"/>
          <w:szCs w:val="22"/>
          <w:lang w:val="en-GB"/>
        </w:rPr>
        <w:br/>
      </w:r>
      <w:r w:rsidR="0098512E">
        <w:rPr>
          <w:rFonts w:asciiTheme="minorHAnsi" w:hAnsiTheme="minorHAnsi" w:cstheme="minorHAnsi"/>
          <w:sz w:val="22"/>
          <w:szCs w:val="22"/>
          <w:lang w:val="en-GB"/>
        </w:rPr>
        <w:t>n</w:t>
      </w:r>
      <w:r>
        <w:rPr>
          <w:rFonts w:asciiTheme="minorHAnsi" w:hAnsiTheme="minorHAnsi" w:cstheme="minorHAnsi"/>
          <w:sz w:val="22"/>
          <w:szCs w:val="22"/>
          <w:lang w:val="en-GB"/>
        </w:rPr>
        <w:t>o. 40 1240 5211 1111 0000 4920 7392.</w:t>
      </w:r>
    </w:p>
    <w:p w14:paraId="4993FA84" w14:textId="77777777" w:rsidR="00FA1FFF" w:rsidRPr="00344A05" w:rsidRDefault="00CC3A58" w:rsidP="008F1622">
      <w:pPr>
        <w:pStyle w:val="Nagwek2"/>
        <w:spacing w:before="0" w:line="336" w:lineRule="auto"/>
        <w:rPr>
          <w:lang w:val="en-US"/>
        </w:rPr>
      </w:pPr>
      <w:r>
        <w:rPr>
          <w:bCs/>
          <w:lang w:val="en-GB"/>
        </w:rPr>
        <w:t>§ 4</w:t>
      </w:r>
    </w:p>
    <w:p w14:paraId="4CFE8447" w14:textId="77777777" w:rsidR="006E0769" w:rsidRPr="00344A05" w:rsidRDefault="00AB0E93" w:rsidP="008F1622">
      <w:pPr>
        <w:shd w:val="clear" w:color="auto" w:fill="FFFFFF"/>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Regarding that the costs of the proceedings are determined in accordance with Art. 184 Act of 20 July 2018 - Law on Higher Education and Science (i.e. Journal of Laws of 2022, item 574, as amended), in the event of a change in the professor's remuneration, the costs of the proceedings indicated in § 2 will change, of which the Ordering Party will be notified in writing.</w:t>
      </w:r>
    </w:p>
    <w:p w14:paraId="5B2567F7" w14:textId="77777777" w:rsidR="006E0769" w:rsidRPr="00344A05" w:rsidRDefault="006E0769" w:rsidP="008F1622">
      <w:pPr>
        <w:pStyle w:val="Nagwek2"/>
        <w:spacing w:before="0" w:line="336" w:lineRule="auto"/>
        <w:rPr>
          <w:lang w:val="en-US"/>
        </w:rPr>
      </w:pPr>
      <w:r>
        <w:rPr>
          <w:bCs/>
          <w:lang w:val="en-GB"/>
        </w:rPr>
        <w:t>§ 5</w:t>
      </w:r>
    </w:p>
    <w:p w14:paraId="45125635" w14:textId="77777777" w:rsidR="00FA1FFF" w:rsidRPr="00344A05" w:rsidRDefault="00FA1FFF" w:rsidP="008F1622">
      <w:pPr>
        <w:tabs>
          <w:tab w:val="left" w:pos="10206"/>
        </w:tabs>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In the event of resignation from conducting the procedure or closing the procedure for conferring a doctoral degree by the Senate for other reasons, the Ordering Party is obliged to cover the costs actually incurred by the University, including the fee referred to in § 2 point g).</w:t>
      </w:r>
    </w:p>
    <w:p w14:paraId="6B82032C" w14:textId="77777777" w:rsidR="00C77451" w:rsidRPr="00344A05" w:rsidRDefault="00C77451" w:rsidP="008F1622">
      <w:pPr>
        <w:pStyle w:val="Nagwek2"/>
        <w:spacing w:before="0" w:line="336" w:lineRule="auto"/>
        <w:rPr>
          <w:lang w:val="en-US"/>
        </w:rPr>
      </w:pPr>
      <w:r>
        <w:rPr>
          <w:bCs/>
          <w:lang w:val="en-GB"/>
        </w:rPr>
        <w:t>§ 6</w:t>
      </w:r>
    </w:p>
    <w:p w14:paraId="75C0999B" w14:textId="77777777" w:rsidR="00C77451" w:rsidRPr="00344A05" w:rsidRDefault="00C77451" w:rsidP="008F1622">
      <w:pPr>
        <w:tabs>
          <w:tab w:val="left" w:pos="10206"/>
        </w:tabs>
        <w:spacing w:line="336" w:lineRule="auto"/>
        <w:rPr>
          <w:rFonts w:asciiTheme="minorHAnsi" w:hAnsiTheme="minorHAnsi" w:cstheme="minorHAnsi"/>
          <w:sz w:val="22"/>
          <w:szCs w:val="22"/>
          <w:lang w:val="en-US"/>
        </w:rPr>
      </w:pPr>
      <w:r>
        <w:rPr>
          <w:rFonts w:asciiTheme="minorHAnsi" w:hAnsiTheme="minorHAnsi" w:cstheme="minorHAnsi"/>
          <w:sz w:val="22"/>
          <w:szCs w:val="22"/>
          <w:lang w:val="en-GB"/>
        </w:rPr>
        <w:t>Any changes to this Contract shall be made in writing in the form of an Annex to the Contract.</w:t>
      </w:r>
    </w:p>
    <w:p w14:paraId="78D1BB6D" w14:textId="77777777" w:rsidR="00265F52" w:rsidRPr="00E52353" w:rsidRDefault="006E0769" w:rsidP="008F1622">
      <w:pPr>
        <w:pStyle w:val="Nagwek2"/>
        <w:spacing w:before="0" w:line="336" w:lineRule="auto"/>
      </w:pPr>
      <w:r>
        <w:rPr>
          <w:bCs/>
          <w:lang w:val="en-GB"/>
        </w:rPr>
        <w:t>§ 7</w:t>
      </w:r>
    </w:p>
    <w:p w14:paraId="21104900" w14:textId="77777777" w:rsidR="00265F52" w:rsidRPr="00344A05" w:rsidRDefault="00265F52" w:rsidP="008F1622">
      <w:pPr>
        <w:numPr>
          <w:ilvl w:val="0"/>
          <w:numId w:val="15"/>
        </w:numPr>
        <w:tabs>
          <w:tab w:val="clear" w:pos="1407"/>
        </w:tabs>
        <w:spacing w:line="336" w:lineRule="auto"/>
        <w:ind w:left="426" w:hanging="426"/>
        <w:rPr>
          <w:rFonts w:asciiTheme="minorHAnsi" w:hAnsiTheme="minorHAnsi" w:cstheme="minorHAnsi"/>
          <w:sz w:val="22"/>
          <w:szCs w:val="22"/>
          <w:lang w:val="en-US"/>
        </w:rPr>
      </w:pPr>
      <w:r>
        <w:rPr>
          <w:rFonts w:asciiTheme="minorHAnsi" w:hAnsiTheme="minorHAnsi" w:cstheme="minorHAnsi"/>
          <w:sz w:val="22"/>
          <w:szCs w:val="22"/>
          <w:lang w:val="en-GB"/>
        </w:rPr>
        <w:t>In matters not regulated by this Contract, the provisions of generally applicable law, in particular the Civil Code, shall apply.</w:t>
      </w:r>
    </w:p>
    <w:p w14:paraId="08CD36FB" w14:textId="1B9CD1EA" w:rsidR="00A31318" w:rsidRPr="00344A05" w:rsidRDefault="00A31318" w:rsidP="008F1622">
      <w:pPr>
        <w:numPr>
          <w:ilvl w:val="0"/>
          <w:numId w:val="15"/>
        </w:numPr>
        <w:tabs>
          <w:tab w:val="clear" w:pos="1407"/>
        </w:tabs>
        <w:spacing w:line="336" w:lineRule="auto"/>
        <w:ind w:left="426" w:hanging="426"/>
        <w:rPr>
          <w:rFonts w:asciiTheme="minorHAnsi" w:hAnsiTheme="minorHAnsi" w:cstheme="minorHAnsi"/>
          <w:sz w:val="22"/>
          <w:szCs w:val="22"/>
          <w:lang w:val="en-US"/>
        </w:rPr>
      </w:pPr>
      <w:r>
        <w:rPr>
          <w:rFonts w:asciiTheme="minorHAnsi" w:hAnsiTheme="minorHAnsi" w:cstheme="minorHAnsi"/>
          <w:sz w:val="22"/>
          <w:szCs w:val="22"/>
          <w:lang w:val="en-GB"/>
        </w:rPr>
        <w:t>Dis</w:t>
      </w:r>
      <w:r w:rsidR="0098512E">
        <w:rPr>
          <w:rFonts w:asciiTheme="minorHAnsi" w:hAnsiTheme="minorHAnsi" w:cstheme="minorHAnsi"/>
          <w:sz w:val="22"/>
          <w:szCs w:val="22"/>
          <w:lang w:val="en-GB"/>
        </w:rPr>
        <w:t>putes arising from this Contrac</w:t>
      </w:r>
      <w:r>
        <w:rPr>
          <w:rFonts w:asciiTheme="minorHAnsi" w:hAnsiTheme="minorHAnsi" w:cstheme="minorHAnsi"/>
          <w:sz w:val="22"/>
          <w:szCs w:val="22"/>
          <w:lang w:val="en-GB"/>
        </w:rPr>
        <w:t xml:space="preserve">t will be settled by the court competent for the premises of </w:t>
      </w:r>
      <w:r>
        <w:rPr>
          <w:rFonts w:asciiTheme="minorHAnsi" w:hAnsiTheme="minorHAnsi" w:cstheme="minorHAnsi"/>
          <w:sz w:val="22"/>
          <w:szCs w:val="22"/>
          <w:lang w:val="en-GB"/>
        </w:rPr>
        <w:br/>
        <w:t>Medical University of Bialystok</w:t>
      </w:r>
    </w:p>
    <w:p w14:paraId="43C2F494" w14:textId="77777777" w:rsidR="00265F52" w:rsidRPr="00344A05" w:rsidRDefault="006E0769" w:rsidP="008F1622">
      <w:pPr>
        <w:pStyle w:val="Nagwek2"/>
        <w:spacing w:before="0" w:line="336" w:lineRule="auto"/>
        <w:rPr>
          <w:lang w:val="en-US"/>
        </w:rPr>
      </w:pPr>
      <w:r>
        <w:rPr>
          <w:bCs/>
          <w:lang w:val="en-GB"/>
        </w:rPr>
        <w:t>§ 8</w:t>
      </w:r>
    </w:p>
    <w:p w14:paraId="292DB0DA" w14:textId="41A59E58" w:rsidR="00265F52" w:rsidRPr="00344A05" w:rsidRDefault="00280083" w:rsidP="008F1622">
      <w:pPr>
        <w:tabs>
          <w:tab w:val="left" w:pos="10206"/>
        </w:tabs>
        <w:spacing w:line="720" w:lineRule="auto"/>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 has been drawn </w:t>
      </w:r>
      <w:r w:rsidR="008546E5">
        <w:rPr>
          <w:rFonts w:asciiTheme="minorHAnsi" w:hAnsiTheme="minorHAnsi" w:cstheme="minorHAnsi"/>
          <w:sz w:val="22"/>
          <w:szCs w:val="22"/>
          <w:lang w:val="en-GB"/>
        </w:rPr>
        <w:t>up in two identical copies</w:t>
      </w:r>
      <w:r>
        <w:rPr>
          <w:rFonts w:asciiTheme="minorHAnsi" w:hAnsiTheme="minorHAnsi" w:cstheme="minorHAnsi"/>
          <w:sz w:val="22"/>
          <w:szCs w:val="22"/>
          <w:lang w:val="en-GB"/>
        </w:rPr>
        <w:t>, one for each of the Parties.</w:t>
      </w:r>
    </w:p>
    <w:p w14:paraId="58E661ED" w14:textId="77777777" w:rsidR="00A0563C" w:rsidRPr="00344A05" w:rsidRDefault="00A0563C" w:rsidP="008F1622">
      <w:pPr>
        <w:tabs>
          <w:tab w:val="right" w:leader="dot" w:pos="10206"/>
        </w:tabs>
        <w:spacing w:line="720" w:lineRule="auto"/>
        <w:rPr>
          <w:rFonts w:ascii="Calibri" w:hAnsi="Calibri" w:cs="Calibri"/>
          <w:b/>
          <w:sz w:val="22"/>
          <w:szCs w:val="22"/>
          <w:lang w:val="en-US"/>
        </w:rPr>
      </w:pPr>
      <w:r>
        <w:rPr>
          <w:rFonts w:ascii="Calibri" w:hAnsi="Calibri" w:cs="Calibri"/>
          <w:b/>
          <w:bCs/>
          <w:sz w:val="22"/>
          <w:szCs w:val="22"/>
          <w:lang w:val="en-GB"/>
        </w:rPr>
        <w:t xml:space="preserve">THE UNIVERSITY: </w:t>
      </w:r>
      <w:r>
        <w:rPr>
          <w:rFonts w:ascii="Calibri" w:hAnsi="Calibri" w:cs="Calibri"/>
          <w:sz w:val="22"/>
          <w:szCs w:val="22"/>
          <w:lang w:val="en-GB"/>
        </w:rPr>
        <w:tab/>
      </w:r>
    </w:p>
    <w:p w14:paraId="1947ACEC" w14:textId="77777777" w:rsidR="00FB4A8C" w:rsidRPr="00344A05" w:rsidRDefault="00A0563C" w:rsidP="008F1622">
      <w:pPr>
        <w:tabs>
          <w:tab w:val="right" w:leader="dot" w:pos="10206"/>
        </w:tabs>
        <w:spacing w:line="720" w:lineRule="auto"/>
        <w:rPr>
          <w:rFonts w:ascii="Calibri" w:hAnsi="Calibri" w:cs="Calibri"/>
          <w:b/>
          <w:sz w:val="22"/>
          <w:szCs w:val="22"/>
          <w:lang w:val="en-US"/>
        </w:rPr>
      </w:pPr>
      <w:r>
        <w:rPr>
          <w:rFonts w:ascii="Calibri" w:hAnsi="Calibri" w:cs="Calibri"/>
          <w:b/>
          <w:bCs/>
          <w:sz w:val="22"/>
          <w:szCs w:val="22"/>
          <w:lang w:val="en-GB"/>
        </w:rPr>
        <w:t xml:space="preserve">THE ORDERING PARTY: </w:t>
      </w:r>
      <w:r>
        <w:rPr>
          <w:rFonts w:ascii="Calibri" w:hAnsi="Calibri" w:cs="Calibri"/>
          <w:sz w:val="22"/>
          <w:szCs w:val="22"/>
          <w:lang w:val="en-GB"/>
        </w:rPr>
        <w:tab/>
      </w:r>
    </w:p>
    <w:sectPr w:rsidR="00FB4A8C" w:rsidRPr="00344A05" w:rsidSect="006E2039">
      <w:headerReference w:type="default" r:id="rId7"/>
      <w:pgSz w:w="12240" w:h="15840"/>
      <w:pgMar w:top="284" w:right="851" w:bottom="284" w:left="851"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1FD11" w16cid:durableId="27A325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969D2" w14:textId="77777777" w:rsidR="00C2166E" w:rsidRDefault="00C2166E">
      <w:r>
        <w:separator/>
      </w:r>
    </w:p>
  </w:endnote>
  <w:endnote w:type="continuationSeparator" w:id="0">
    <w:p w14:paraId="07897C14" w14:textId="77777777" w:rsidR="00C2166E" w:rsidRDefault="00C2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3D3F2" w14:textId="77777777" w:rsidR="00C2166E" w:rsidRDefault="00C2166E">
      <w:r>
        <w:separator/>
      </w:r>
    </w:p>
  </w:footnote>
  <w:footnote w:type="continuationSeparator" w:id="0">
    <w:p w14:paraId="245D3A36" w14:textId="77777777" w:rsidR="00C2166E" w:rsidRDefault="00C2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4073" w14:textId="6FF9A274" w:rsidR="00B50FAB" w:rsidRPr="00344A05" w:rsidRDefault="006E2039" w:rsidP="006E2039">
    <w:pPr>
      <w:spacing w:after="240"/>
      <w:rPr>
        <w:rFonts w:ascii="Calibri" w:hAnsi="Calibri" w:cs="Calibri"/>
        <w:lang w:val="en-US"/>
      </w:rPr>
    </w:pPr>
    <w:r>
      <w:rPr>
        <w:rFonts w:ascii="Calibri" w:hAnsi="Calibri" w:cs="Calibri"/>
        <w:lang w:val="en-GB"/>
      </w:rPr>
      <w:t xml:space="preserve">Appendix No. 6 to </w:t>
    </w:r>
    <w:r w:rsidR="00057F7A">
      <w:rPr>
        <w:rFonts w:ascii="Calibri" w:hAnsi="Calibri" w:cs="Calibri"/>
        <w:color w:val="000000"/>
        <w:lang w:val="en-GB"/>
      </w:rPr>
      <w:t>the Order</w:t>
    </w:r>
    <w:r>
      <w:rPr>
        <w:rFonts w:ascii="Calibri" w:hAnsi="Calibri" w:cs="Calibri"/>
        <w:color w:val="000000"/>
        <w:lang w:val="en-GB"/>
      </w:rPr>
      <w:t xml:space="preserve"> No. 29/2023 of the Rector of the MUB of 16.03.2023</w:t>
    </w:r>
    <w:r w:rsidR="0098512E">
      <w:rPr>
        <w:rFonts w:ascii="Calibri" w:hAnsi="Calibri" w:cs="Calibri"/>
        <w:color w:val="00000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BB3"/>
    <w:multiLevelType w:val="hybridMultilevel"/>
    <w:tmpl w:val="DD9899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6F32BF"/>
    <w:multiLevelType w:val="hybridMultilevel"/>
    <w:tmpl w:val="55DAED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E2669D"/>
    <w:multiLevelType w:val="hybridMultilevel"/>
    <w:tmpl w:val="DCEA8814"/>
    <w:lvl w:ilvl="0" w:tplc="4F1EBB7A">
      <w:start w:val="1"/>
      <w:numFmt w:val="decimal"/>
      <w:lvlText w:val="%1."/>
      <w:lvlJc w:val="left"/>
      <w:pPr>
        <w:tabs>
          <w:tab w:val="num" w:pos="1407"/>
        </w:tabs>
        <w:ind w:left="1407" w:hanging="480"/>
      </w:pPr>
      <w:rPr>
        <w:rFonts w:hint="default"/>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 w15:restartNumberingAfterBreak="0">
    <w:nsid w:val="0CEB5271"/>
    <w:multiLevelType w:val="hybridMultilevel"/>
    <w:tmpl w:val="DDF466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DEB7936"/>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2C557302"/>
    <w:multiLevelType w:val="hybridMultilevel"/>
    <w:tmpl w:val="AE20AD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DE451DB"/>
    <w:multiLevelType w:val="hybridMultilevel"/>
    <w:tmpl w:val="D8CCC274"/>
    <w:lvl w:ilvl="0" w:tplc="FF40F3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3ABE3F0F"/>
    <w:multiLevelType w:val="hybridMultilevel"/>
    <w:tmpl w:val="B79A01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AF91D29"/>
    <w:multiLevelType w:val="singleLevel"/>
    <w:tmpl w:val="35705C3C"/>
    <w:lvl w:ilvl="0">
      <w:start w:val="3"/>
      <w:numFmt w:val="bullet"/>
      <w:lvlText w:val="-"/>
      <w:lvlJc w:val="left"/>
      <w:pPr>
        <w:tabs>
          <w:tab w:val="num" w:pos="1068"/>
        </w:tabs>
        <w:ind w:left="1068" w:hanging="360"/>
      </w:pPr>
      <w:rPr>
        <w:rFonts w:hint="default"/>
      </w:rPr>
    </w:lvl>
  </w:abstractNum>
  <w:abstractNum w:abstractNumId="9" w15:restartNumberingAfterBreak="0">
    <w:nsid w:val="424A5C5A"/>
    <w:multiLevelType w:val="hybridMultilevel"/>
    <w:tmpl w:val="7286FAD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5BD139F"/>
    <w:multiLevelType w:val="hybridMultilevel"/>
    <w:tmpl w:val="D28276DA"/>
    <w:lvl w:ilvl="0" w:tplc="FF40F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CC38E3"/>
    <w:multiLevelType w:val="hybridMultilevel"/>
    <w:tmpl w:val="FCB0A6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03416B0"/>
    <w:multiLevelType w:val="singleLevel"/>
    <w:tmpl w:val="485699AA"/>
    <w:lvl w:ilvl="0">
      <w:start w:val="1"/>
      <w:numFmt w:val="decimal"/>
      <w:lvlText w:val="%1."/>
      <w:lvlJc w:val="left"/>
      <w:pPr>
        <w:tabs>
          <w:tab w:val="num" w:pos="720"/>
        </w:tabs>
        <w:ind w:left="720" w:hanging="360"/>
      </w:pPr>
      <w:rPr>
        <w:rFonts w:hint="default"/>
      </w:rPr>
    </w:lvl>
  </w:abstractNum>
  <w:abstractNum w:abstractNumId="13" w15:restartNumberingAfterBreak="0">
    <w:nsid w:val="51F5728A"/>
    <w:multiLevelType w:val="singleLevel"/>
    <w:tmpl w:val="04150017"/>
    <w:lvl w:ilvl="0">
      <w:start w:val="1"/>
      <w:numFmt w:val="lowerLetter"/>
      <w:lvlText w:val="%1)"/>
      <w:lvlJc w:val="left"/>
      <w:pPr>
        <w:tabs>
          <w:tab w:val="num" w:pos="360"/>
        </w:tabs>
        <w:ind w:left="360" w:hanging="360"/>
      </w:pPr>
    </w:lvl>
  </w:abstractNum>
  <w:abstractNum w:abstractNumId="14" w15:restartNumberingAfterBreak="0">
    <w:nsid w:val="5F156288"/>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624C4E04"/>
    <w:multiLevelType w:val="hybridMultilevel"/>
    <w:tmpl w:val="78802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9921D5"/>
    <w:multiLevelType w:val="hybridMultilevel"/>
    <w:tmpl w:val="E004A4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A2F1E79"/>
    <w:multiLevelType w:val="hybridMultilevel"/>
    <w:tmpl w:val="9A063E68"/>
    <w:lvl w:ilvl="0" w:tplc="6E5AF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2"/>
  </w:num>
  <w:num w:numId="4">
    <w:abstractNumId w:val="8"/>
  </w:num>
  <w:num w:numId="5">
    <w:abstractNumId w:val="13"/>
  </w:num>
  <w:num w:numId="6">
    <w:abstractNumId w:val="0"/>
  </w:num>
  <w:num w:numId="7">
    <w:abstractNumId w:val="1"/>
  </w:num>
  <w:num w:numId="8">
    <w:abstractNumId w:val="16"/>
  </w:num>
  <w:num w:numId="9">
    <w:abstractNumId w:val="9"/>
  </w:num>
  <w:num w:numId="10">
    <w:abstractNumId w:val="11"/>
  </w:num>
  <w:num w:numId="11">
    <w:abstractNumId w:val="7"/>
  </w:num>
  <w:num w:numId="12">
    <w:abstractNumId w:val="15"/>
  </w:num>
  <w:num w:numId="13">
    <w:abstractNumId w:val="5"/>
  </w:num>
  <w:num w:numId="14">
    <w:abstractNumId w:val="3"/>
  </w:num>
  <w:num w:numId="15">
    <w:abstractNumId w:val="2"/>
  </w:num>
  <w:num w:numId="16">
    <w:abstractNumId w:val="1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95"/>
    <w:rsid w:val="00000071"/>
    <w:rsid w:val="00003034"/>
    <w:rsid w:val="00015C4A"/>
    <w:rsid w:val="00022606"/>
    <w:rsid w:val="00057F7A"/>
    <w:rsid w:val="000840D4"/>
    <w:rsid w:val="0008783D"/>
    <w:rsid w:val="000A3A43"/>
    <w:rsid w:val="000B10BF"/>
    <w:rsid w:val="000D6AAA"/>
    <w:rsid w:val="000E141F"/>
    <w:rsid w:val="000F1D99"/>
    <w:rsid w:val="00104D24"/>
    <w:rsid w:val="00107BDE"/>
    <w:rsid w:val="00131927"/>
    <w:rsid w:val="00151F0B"/>
    <w:rsid w:val="001B408D"/>
    <w:rsid w:val="001D5F29"/>
    <w:rsid w:val="001E71FA"/>
    <w:rsid w:val="00200F44"/>
    <w:rsid w:val="00222C23"/>
    <w:rsid w:val="002356F4"/>
    <w:rsid w:val="00265F52"/>
    <w:rsid w:val="00280083"/>
    <w:rsid w:val="002B3BC4"/>
    <w:rsid w:val="002C0DD0"/>
    <w:rsid w:val="002C2FE9"/>
    <w:rsid w:val="002D61C8"/>
    <w:rsid w:val="002E018C"/>
    <w:rsid w:val="00310DEB"/>
    <w:rsid w:val="00323CC4"/>
    <w:rsid w:val="00344A05"/>
    <w:rsid w:val="0035419B"/>
    <w:rsid w:val="00363592"/>
    <w:rsid w:val="003B249C"/>
    <w:rsid w:val="003B7466"/>
    <w:rsid w:val="003D6ECC"/>
    <w:rsid w:val="004178CB"/>
    <w:rsid w:val="00443E75"/>
    <w:rsid w:val="0044449E"/>
    <w:rsid w:val="004831C0"/>
    <w:rsid w:val="004B77B9"/>
    <w:rsid w:val="004D0833"/>
    <w:rsid w:val="004E4E4A"/>
    <w:rsid w:val="005067D3"/>
    <w:rsid w:val="00510AF8"/>
    <w:rsid w:val="0052343B"/>
    <w:rsid w:val="00525A4C"/>
    <w:rsid w:val="00530134"/>
    <w:rsid w:val="005665D0"/>
    <w:rsid w:val="005A125B"/>
    <w:rsid w:val="005B2826"/>
    <w:rsid w:val="005B6D86"/>
    <w:rsid w:val="005C0A56"/>
    <w:rsid w:val="005D3321"/>
    <w:rsid w:val="005E3B09"/>
    <w:rsid w:val="0060674F"/>
    <w:rsid w:val="00616FD5"/>
    <w:rsid w:val="00620BA6"/>
    <w:rsid w:val="00655447"/>
    <w:rsid w:val="006614CB"/>
    <w:rsid w:val="006734AB"/>
    <w:rsid w:val="006908F3"/>
    <w:rsid w:val="006B6E57"/>
    <w:rsid w:val="006D081A"/>
    <w:rsid w:val="006D5B0D"/>
    <w:rsid w:val="006E0769"/>
    <w:rsid w:val="006E2039"/>
    <w:rsid w:val="00700084"/>
    <w:rsid w:val="00702844"/>
    <w:rsid w:val="00704360"/>
    <w:rsid w:val="007336C7"/>
    <w:rsid w:val="00735C54"/>
    <w:rsid w:val="00747102"/>
    <w:rsid w:val="007B3608"/>
    <w:rsid w:val="007D53D5"/>
    <w:rsid w:val="008105C5"/>
    <w:rsid w:val="00822084"/>
    <w:rsid w:val="008468F5"/>
    <w:rsid w:val="008546E5"/>
    <w:rsid w:val="008F1622"/>
    <w:rsid w:val="00916194"/>
    <w:rsid w:val="00920578"/>
    <w:rsid w:val="0092402F"/>
    <w:rsid w:val="009357A3"/>
    <w:rsid w:val="009362FF"/>
    <w:rsid w:val="00937386"/>
    <w:rsid w:val="0097335F"/>
    <w:rsid w:val="00975C52"/>
    <w:rsid w:val="0098448D"/>
    <w:rsid w:val="0098512E"/>
    <w:rsid w:val="00994A4F"/>
    <w:rsid w:val="009B0801"/>
    <w:rsid w:val="009D487C"/>
    <w:rsid w:val="009E0B48"/>
    <w:rsid w:val="009F3FE2"/>
    <w:rsid w:val="00A0563C"/>
    <w:rsid w:val="00A25BFD"/>
    <w:rsid w:val="00A31318"/>
    <w:rsid w:val="00A34AE0"/>
    <w:rsid w:val="00A75BAA"/>
    <w:rsid w:val="00AA1735"/>
    <w:rsid w:val="00AA4F8D"/>
    <w:rsid w:val="00AA7611"/>
    <w:rsid w:val="00AA7C2C"/>
    <w:rsid w:val="00AA7F61"/>
    <w:rsid w:val="00AB0E93"/>
    <w:rsid w:val="00AC70EA"/>
    <w:rsid w:val="00AE64B4"/>
    <w:rsid w:val="00AF7250"/>
    <w:rsid w:val="00B035D2"/>
    <w:rsid w:val="00B258FE"/>
    <w:rsid w:val="00B50FAB"/>
    <w:rsid w:val="00B7309C"/>
    <w:rsid w:val="00BC2D5D"/>
    <w:rsid w:val="00BE5C09"/>
    <w:rsid w:val="00C2166E"/>
    <w:rsid w:val="00C61AD8"/>
    <w:rsid w:val="00C77451"/>
    <w:rsid w:val="00C824BD"/>
    <w:rsid w:val="00CA15E6"/>
    <w:rsid w:val="00CC3A58"/>
    <w:rsid w:val="00CC52A4"/>
    <w:rsid w:val="00CD4F8D"/>
    <w:rsid w:val="00CD66CE"/>
    <w:rsid w:val="00D1219C"/>
    <w:rsid w:val="00D14892"/>
    <w:rsid w:val="00D57C82"/>
    <w:rsid w:val="00D73F5F"/>
    <w:rsid w:val="00D95F95"/>
    <w:rsid w:val="00DB15E1"/>
    <w:rsid w:val="00DB7F7A"/>
    <w:rsid w:val="00DC3CF2"/>
    <w:rsid w:val="00DD4063"/>
    <w:rsid w:val="00E140A0"/>
    <w:rsid w:val="00E343D0"/>
    <w:rsid w:val="00E36759"/>
    <w:rsid w:val="00E42359"/>
    <w:rsid w:val="00E52353"/>
    <w:rsid w:val="00E56F7D"/>
    <w:rsid w:val="00E63B6B"/>
    <w:rsid w:val="00E71F3A"/>
    <w:rsid w:val="00E85282"/>
    <w:rsid w:val="00E903A3"/>
    <w:rsid w:val="00ED2431"/>
    <w:rsid w:val="00F074EE"/>
    <w:rsid w:val="00F235C1"/>
    <w:rsid w:val="00F970BA"/>
    <w:rsid w:val="00F97DC1"/>
    <w:rsid w:val="00FA1FFF"/>
    <w:rsid w:val="00FA202C"/>
    <w:rsid w:val="00FB1D53"/>
    <w:rsid w:val="00FB4A8C"/>
    <w:rsid w:val="00FE3E5E"/>
    <w:rsid w:val="00FE6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15C03"/>
  <w15:docId w15:val="{34CD7E63-C805-49CD-AC1D-930C83C8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qFormat/>
    <w:rsid w:val="00A0563C"/>
    <w:pPr>
      <w:tabs>
        <w:tab w:val="left" w:pos="10206"/>
      </w:tabs>
      <w:spacing w:before="240" w:line="300" w:lineRule="auto"/>
      <w:outlineLvl w:val="1"/>
    </w:pPr>
    <w:rPr>
      <w:rFonts w:asciiTheme="minorHAnsi" w:hAnsiTheme="minorHAnsi" w:cstheme="minorHAnsi"/>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362FF"/>
    <w:rPr>
      <w:rFonts w:ascii="Tahoma" w:hAnsi="Tahoma" w:cs="Tahoma"/>
      <w:sz w:val="16"/>
      <w:szCs w:val="16"/>
    </w:rPr>
  </w:style>
  <w:style w:type="character" w:styleId="Odwoaniedokomentarza">
    <w:name w:val="annotation reference"/>
    <w:uiPriority w:val="99"/>
    <w:semiHidden/>
    <w:unhideWhenUsed/>
    <w:rsid w:val="009D487C"/>
    <w:rPr>
      <w:sz w:val="16"/>
      <w:szCs w:val="16"/>
    </w:rPr>
  </w:style>
  <w:style w:type="paragraph" w:styleId="Tekstkomentarza">
    <w:name w:val="annotation text"/>
    <w:basedOn w:val="Normalny"/>
    <w:link w:val="TekstkomentarzaZnak"/>
    <w:uiPriority w:val="99"/>
    <w:semiHidden/>
    <w:unhideWhenUsed/>
    <w:rsid w:val="009D487C"/>
  </w:style>
  <w:style w:type="character" w:customStyle="1" w:styleId="TekstkomentarzaZnak">
    <w:name w:val="Tekst komentarza Znak"/>
    <w:basedOn w:val="Domylnaczcionkaakapitu"/>
    <w:link w:val="Tekstkomentarza"/>
    <w:uiPriority w:val="99"/>
    <w:semiHidden/>
    <w:rsid w:val="009D487C"/>
  </w:style>
  <w:style w:type="paragraph" w:styleId="Tematkomentarza">
    <w:name w:val="annotation subject"/>
    <w:basedOn w:val="Tekstkomentarza"/>
    <w:next w:val="Tekstkomentarza"/>
    <w:link w:val="TematkomentarzaZnak"/>
    <w:uiPriority w:val="99"/>
    <w:semiHidden/>
    <w:unhideWhenUsed/>
    <w:rsid w:val="009D487C"/>
    <w:rPr>
      <w:b/>
      <w:bCs/>
    </w:rPr>
  </w:style>
  <w:style w:type="character" w:customStyle="1" w:styleId="TematkomentarzaZnak">
    <w:name w:val="Temat komentarza Znak"/>
    <w:link w:val="Tematkomentarza"/>
    <w:uiPriority w:val="99"/>
    <w:semiHidden/>
    <w:rsid w:val="009D487C"/>
    <w:rPr>
      <w:b/>
      <w:bCs/>
    </w:rPr>
  </w:style>
  <w:style w:type="paragraph" w:styleId="Tekstprzypisudolnego">
    <w:name w:val="footnote text"/>
    <w:basedOn w:val="Normalny"/>
    <w:semiHidden/>
    <w:rsid w:val="00CC3A58"/>
  </w:style>
  <w:style w:type="character" w:styleId="Odwoanieprzypisudolnego">
    <w:name w:val="footnote reference"/>
    <w:semiHidden/>
    <w:rsid w:val="00CC3A58"/>
    <w:rPr>
      <w:vertAlign w:val="superscript"/>
    </w:rPr>
  </w:style>
  <w:style w:type="paragraph" w:styleId="Nagwek">
    <w:name w:val="header"/>
    <w:basedOn w:val="Normalny"/>
    <w:link w:val="NagwekZnak"/>
    <w:uiPriority w:val="99"/>
    <w:unhideWhenUsed/>
    <w:rsid w:val="00B50FAB"/>
    <w:pPr>
      <w:tabs>
        <w:tab w:val="center" w:pos="4536"/>
        <w:tab w:val="right" w:pos="9072"/>
      </w:tabs>
    </w:pPr>
  </w:style>
  <w:style w:type="character" w:customStyle="1" w:styleId="NagwekZnak">
    <w:name w:val="Nagłówek Znak"/>
    <w:basedOn w:val="Domylnaczcionkaakapitu"/>
    <w:link w:val="Nagwek"/>
    <w:uiPriority w:val="99"/>
    <w:rsid w:val="00B50FAB"/>
  </w:style>
  <w:style w:type="paragraph" w:styleId="Stopka">
    <w:name w:val="footer"/>
    <w:basedOn w:val="Normalny"/>
    <w:link w:val="StopkaZnak"/>
    <w:uiPriority w:val="99"/>
    <w:unhideWhenUsed/>
    <w:rsid w:val="00B50FAB"/>
    <w:pPr>
      <w:tabs>
        <w:tab w:val="center" w:pos="4536"/>
        <w:tab w:val="right" w:pos="9072"/>
      </w:tabs>
    </w:pPr>
  </w:style>
  <w:style w:type="character" w:customStyle="1" w:styleId="StopkaZnak">
    <w:name w:val="Stopka Znak"/>
    <w:basedOn w:val="Domylnaczcionkaakapitu"/>
    <w:link w:val="Stopka"/>
    <w:uiPriority w:val="99"/>
    <w:rsid w:val="00B50FAB"/>
  </w:style>
  <w:style w:type="paragraph" w:styleId="Akapitzlist">
    <w:name w:val="List Paragraph"/>
    <w:basedOn w:val="Normalny"/>
    <w:uiPriority w:val="34"/>
    <w:qFormat/>
    <w:rsid w:val="005067D3"/>
    <w:pPr>
      <w:spacing w:after="160" w:line="259"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rsid w:val="00FB1D53"/>
    <w:pPr>
      <w:overflowPunct w:val="0"/>
      <w:autoSpaceDE w:val="0"/>
      <w:autoSpaceDN w:val="0"/>
      <w:adjustRightInd w:val="0"/>
      <w:jc w:val="both"/>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366235">
      <w:bodyDiv w:val="1"/>
      <w:marLeft w:val="0"/>
      <w:marRight w:val="0"/>
      <w:marTop w:val="0"/>
      <w:marBottom w:val="0"/>
      <w:divBdr>
        <w:top w:val="none" w:sz="0" w:space="0" w:color="auto"/>
        <w:left w:val="none" w:sz="0" w:space="0" w:color="auto"/>
        <w:bottom w:val="none" w:sz="0" w:space="0" w:color="auto"/>
        <w:right w:val="none" w:sz="0" w:space="0" w:color="auto"/>
      </w:divBdr>
    </w:div>
    <w:div w:id="1406368719">
      <w:bodyDiv w:val="1"/>
      <w:marLeft w:val="0"/>
      <w:marRight w:val="0"/>
      <w:marTop w:val="0"/>
      <w:marBottom w:val="0"/>
      <w:divBdr>
        <w:top w:val="none" w:sz="0" w:space="0" w:color="auto"/>
        <w:left w:val="none" w:sz="0" w:space="0" w:color="auto"/>
        <w:bottom w:val="none" w:sz="0" w:space="0" w:color="auto"/>
        <w:right w:val="none" w:sz="0" w:space="0" w:color="auto"/>
      </w:divBdr>
      <w:divsChild>
        <w:div w:id="1394501231">
          <w:marLeft w:val="0"/>
          <w:marRight w:val="0"/>
          <w:marTop w:val="0"/>
          <w:marBottom w:val="0"/>
          <w:divBdr>
            <w:top w:val="none" w:sz="0" w:space="0" w:color="auto"/>
            <w:left w:val="none" w:sz="0" w:space="0" w:color="auto"/>
            <w:bottom w:val="none" w:sz="0" w:space="0" w:color="auto"/>
            <w:right w:val="none" w:sz="0" w:space="0" w:color="auto"/>
          </w:divBdr>
        </w:div>
      </w:divsChild>
    </w:div>
    <w:div w:id="1551647941">
      <w:bodyDiv w:val="1"/>
      <w:marLeft w:val="0"/>
      <w:marRight w:val="0"/>
      <w:marTop w:val="0"/>
      <w:marBottom w:val="0"/>
      <w:divBdr>
        <w:top w:val="none" w:sz="0" w:space="0" w:color="auto"/>
        <w:left w:val="none" w:sz="0" w:space="0" w:color="auto"/>
        <w:bottom w:val="none" w:sz="0" w:space="0" w:color="auto"/>
        <w:right w:val="none" w:sz="0" w:space="0" w:color="auto"/>
      </w:divBdr>
      <w:divsChild>
        <w:div w:id="1166215231">
          <w:marLeft w:val="0"/>
          <w:marRight w:val="0"/>
          <w:marTop w:val="0"/>
          <w:marBottom w:val="0"/>
          <w:divBdr>
            <w:top w:val="none" w:sz="0" w:space="0" w:color="auto"/>
            <w:left w:val="none" w:sz="0" w:space="0" w:color="auto"/>
            <w:bottom w:val="none" w:sz="0" w:space="0" w:color="auto"/>
            <w:right w:val="none" w:sz="0" w:space="0" w:color="auto"/>
          </w:divBdr>
          <w:divsChild>
            <w:div w:id="5884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535</Words>
  <Characters>3215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.2023 zął. 6 Umowa na odpłatne przeprowadzenie postępowania w sprawie nadania stopnia doktora (z kandydatem / jednostką zatrudniającą kandydata)</vt:lpstr>
    </vt:vector>
  </TitlesOfParts>
  <Company>Akademia Medyczna Białystok</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29.2023 appx. 6 Contract for paid conduct of the procedure for conferring a Doctoral degree</dc:title>
  <dc:subject/>
  <dc:creator>Emilia Snarska</dc:creator>
  <cp:keywords/>
  <cp:lastModifiedBy>Emilia Snarska</cp:lastModifiedBy>
  <cp:revision>9</cp:revision>
  <cp:lastPrinted>2023-03-16T10:56:00Z</cp:lastPrinted>
  <dcterms:created xsi:type="dcterms:W3CDTF">2023-03-15T10:30:00Z</dcterms:created>
  <dcterms:modified xsi:type="dcterms:W3CDTF">2023-04-04T12:02:00Z</dcterms:modified>
</cp:coreProperties>
</file>