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54B36" w14:textId="325C815E" w:rsidR="007F29F9" w:rsidRPr="00124D87" w:rsidRDefault="007F29F9" w:rsidP="007F29F9">
      <w:pPr>
        <w:spacing w:line="360" w:lineRule="auto"/>
        <w:rPr>
          <w:rFonts w:cstheme="minorHAnsi"/>
          <w:sz w:val="20"/>
          <w:szCs w:val="20"/>
          <w:lang w:val="en-US"/>
        </w:rPr>
      </w:pPr>
      <w:r>
        <w:rPr>
          <w:rFonts w:cstheme="minorHAnsi"/>
          <w:sz w:val="20"/>
          <w:szCs w:val="20"/>
          <w:lang w:val="en-GB"/>
        </w:rPr>
        <w:t>Appendix No. 2 to the Resolution No. 91/2019 of the MUB Senate of 24.10.2019 (introduced by Resolution No. 520/2022 of the UMB Senate of 20.12.2022.)</w:t>
      </w:r>
    </w:p>
    <w:p w14:paraId="516D24A7" w14:textId="6F472958" w:rsidR="000639A3" w:rsidRPr="00124D87" w:rsidRDefault="00FC7C45" w:rsidP="007F29F9">
      <w:pPr>
        <w:spacing w:line="360" w:lineRule="auto"/>
        <w:contextualSpacing/>
        <w:mirrorIndents/>
        <w:rPr>
          <w:rFonts w:asciiTheme="minorHAnsi" w:hAnsiTheme="minorHAnsi" w:cstheme="minorHAnsi"/>
          <w:b/>
          <w:bCs/>
          <w:sz w:val="28"/>
          <w:szCs w:val="28"/>
          <w:lang w:val="en-US"/>
        </w:rPr>
      </w:pPr>
      <w:bookmarkStart w:id="0" w:name="_GoBack"/>
      <w:r>
        <w:rPr>
          <w:rFonts w:asciiTheme="minorHAnsi" w:hAnsiTheme="minorHAnsi" w:cstheme="minorHAnsi"/>
          <w:b/>
          <w:bCs/>
          <w:sz w:val="28"/>
          <w:szCs w:val="28"/>
          <w:lang w:val="en-GB"/>
        </w:rPr>
        <w:t xml:space="preserve">The procedure for conferring the Post-doctoral (habilitated doctor) degree at the </w:t>
      </w:r>
      <w:bookmarkEnd w:id="0"/>
      <w:r>
        <w:rPr>
          <w:rFonts w:asciiTheme="minorHAnsi" w:hAnsiTheme="minorHAnsi" w:cstheme="minorHAnsi"/>
          <w:b/>
          <w:bCs/>
          <w:sz w:val="28"/>
          <w:szCs w:val="28"/>
          <w:lang w:val="en-GB"/>
        </w:rPr>
        <w:t>Medical University of Bialystok</w:t>
      </w:r>
    </w:p>
    <w:p w14:paraId="35FC9280" w14:textId="77777777" w:rsidR="007F29F9" w:rsidRPr="00124D87" w:rsidRDefault="007F29F9" w:rsidP="007F29F9">
      <w:pPr>
        <w:pStyle w:val="Nagwek1"/>
        <w:rPr>
          <w:lang w:val="en-US"/>
        </w:rPr>
      </w:pPr>
      <w:r>
        <w:rPr>
          <w:bCs/>
          <w:lang w:val="en-GB"/>
        </w:rPr>
        <w:t>Legal framework</w:t>
      </w:r>
    </w:p>
    <w:p w14:paraId="7A07674B" w14:textId="5E4F6764" w:rsidR="00DE5548" w:rsidRPr="00124D87" w:rsidRDefault="00DE5548" w:rsidP="007F29F9">
      <w:pPr>
        <w:pStyle w:val="Nagwek2"/>
        <w:rPr>
          <w:lang w:val="en-US"/>
        </w:rPr>
      </w:pPr>
      <w:r>
        <w:rPr>
          <w:bCs/>
          <w:lang w:val="en-GB"/>
        </w:rPr>
        <w:t>§ 1</w:t>
      </w:r>
    </w:p>
    <w:p w14:paraId="2CF1D298" w14:textId="42E00543" w:rsidR="00DE5548" w:rsidRPr="00124D87" w:rsidRDefault="00DE5548" w:rsidP="007F29F9">
      <w:p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Procedures for conferring the Post-doctoral degree are conducted on the basis of the Act of 20 July 2018 - Law on Higher Education and Science</w:t>
      </w:r>
      <w:r w:rsidR="00F13ED0">
        <w:rPr>
          <w:rFonts w:asciiTheme="minorHAnsi" w:hAnsiTheme="minorHAnsi" w:cstheme="minorHAnsi"/>
          <w:sz w:val="24"/>
          <w:szCs w:val="24"/>
          <w:lang w:val="en-GB"/>
        </w:rPr>
        <w:t xml:space="preserve"> (Journal of Laws of 2018</w:t>
      </w:r>
      <w:r>
        <w:rPr>
          <w:rFonts w:asciiTheme="minorHAnsi" w:hAnsiTheme="minorHAnsi" w:cstheme="minorHAnsi"/>
          <w:sz w:val="24"/>
          <w:szCs w:val="24"/>
          <w:lang w:val="en-GB"/>
        </w:rPr>
        <w:t xml:space="preserve">, </w:t>
      </w:r>
      <w:r w:rsidR="00F13ED0">
        <w:rPr>
          <w:rFonts w:asciiTheme="minorHAnsi" w:hAnsiTheme="minorHAnsi" w:cstheme="minorHAnsi"/>
          <w:sz w:val="24"/>
          <w:szCs w:val="24"/>
          <w:lang w:val="en-GB"/>
        </w:rPr>
        <w:t>item 1668, as amended</w:t>
      </w:r>
      <w:r w:rsidR="00571FA2">
        <w:rPr>
          <w:rFonts w:asciiTheme="minorHAnsi" w:hAnsiTheme="minorHAnsi" w:cstheme="minorHAnsi"/>
          <w:sz w:val="24"/>
          <w:szCs w:val="24"/>
          <w:lang w:val="en-GB"/>
        </w:rPr>
        <w:t>.</w:t>
      </w:r>
      <w:r w:rsidR="00F13ED0">
        <w:rPr>
          <w:rFonts w:asciiTheme="minorHAnsi" w:hAnsiTheme="minorHAnsi" w:cstheme="minorHAnsi"/>
          <w:sz w:val="24"/>
          <w:szCs w:val="24"/>
          <w:lang w:val="en-GB"/>
        </w:rPr>
        <w:t xml:space="preserve">), </w:t>
      </w:r>
      <w:r>
        <w:rPr>
          <w:rFonts w:asciiTheme="minorHAnsi" w:hAnsiTheme="minorHAnsi" w:cstheme="minorHAnsi"/>
          <w:sz w:val="24"/>
          <w:szCs w:val="24"/>
          <w:lang w:val="en-GB"/>
        </w:rPr>
        <w:t>hereinafter referred to as the "Act”.</w:t>
      </w:r>
      <w:r>
        <w:rPr>
          <w:rFonts w:asciiTheme="minorHAnsi" w:hAnsiTheme="minorHAnsi" w:cstheme="minorHAnsi"/>
          <w:sz w:val="24"/>
          <w:szCs w:val="24"/>
          <w:lang w:val="en-GB"/>
        </w:rPr>
        <w:br/>
      </w:r>
    </w:p>
    <w:p w14:paraId="2E56ABD4" w14:textId="77777777" w:rsidR="007F29F9" w:rsidRPr="00EC6AEA" w:rsidRDefault="007F29F9" w:rsidP="007F29F9">
      <w:pPr>
        <w:pStyle w:val="Nagwek1"/>
      </w:pPr>
      <w:r>
        <w:rPr>
          <w:bCs/>
          <w:lang w:val="en-GB"/>
        </w:rPr>
        <w:t>Introduction:</w:t>
      </w:r>
    </w:p>
    <w:p w14:paraId="3F64406B" w14:textId="43FFAB29" w:rsidR="009B66B6" w:rsidRPr="007F29F9" w:rsidRDefault="009B66B6" w:rsidP="007F29F9">
      <w:pPr>
        <w:pStyle w:val="Nagwek2"/>
      </w:pPr>
      <w:r>
        <w:rPr>
          <w:bCs/>
          <w:lang w:val="en-GB"/>
        </w:rPr>
        <w:t>§ 2</w:t>
      </w:r>
    </w:p>
    <w:p w14:paraId="446B1158" w14:textId="77777777" w:rsidR="009B66B6" w:rsidRPr="00124D87" w:rsidRDefault="009B66B6" w:rsidP="00D50590">
      <w:pPr>
        <w:numPr>
          <w:ilvl w:val="0"/>
          <w:numId w:val="4"/>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The Senate confers, by way of an administrative decision, the post-doctoral degree in the field of medical sciences and health sciences in the following disciplines: medical sciences, pharmaceutical sciences, health sciences.</w:t>
      </w:r>
    </w:p>
    <w:p w14:paraId="5A853E73" w14:textId="27E7BFA0" w:rsidR="007E1FB6" w:rsidRPr="00124D87" w:rsidRDefault="007E1FB6" w:rsidP="00D50590">
      <w:pPr>
        <w:numPr>
          <w:ilvl w:val="0"/>
          <w:numId w:val="4"/>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Academic teachers employed at the Medical University of Bialystok are obliged to conduct the procedure for the conferral of a post-doctoral degree at their home university.</w:t>
      </w:r>
    </w:p>
    <w:p w14:paraId="44B9A7AE" w14:textId="048F33DA" w:rsidR="007E1FB6" w:rsidRPr="00124D87" w:rsidRDefault="007E1FB6" w:rsidP="00D50590">
      <w:pPr>
        <w:numPr>
          <w:ilvl w:val="0"/>
          <w:numId w:val="4"/>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Submission of an application to another post-doctoral institution requires the approval of the Rector.</w:t>
      </w:r>
    </w:p>
    <w:p w14:paraId="0F904EC6" w14:textId="0C682035" w:rsidR="007F29F9" w:rsidRPr="00124D87" w:rsidRDefault="00032872" w:rsidP="007F29F9">
      <w:pPr>
        <w:pStyle w:val="Nagwek1"/>
        <w:rPr>
          <w:lang w:val="en-US"/>
        </w:rPr>
      </w:pPr>
      <w:r>
        <w:rPr>
          <w:bCs/>
          <w:lang w:val="en-GB"/>
        </w:rPr>
        <w:t>General conditions required</w:t>
      </w:r>
      <w:r w:rsidR="007F29F9">
        <w:rPr>
          <w:bCs/>
          <w:lang w:val="en-GB"/>
        </w:rPr>
        <w:t xml:space="preserve"> from the candidate</w:t>
      </w:r>
    </w:p>
    <w:p w14:paraId="6D992654" w14:textId="77777777" w:rsidR="00DE5548" w:rsidRPr="00124D87" w:rsidRDefault="009B66B6" w:rsidP="007F29F9">
      <w:pPr>
        <w:pStyle w:val="Nagwek2"/>
        <w:rPr>
          <w:lang w:val="en-US"/>
        </w:rPr>
      </w:pPr>
      <w:r>
        <w:rPr>
          <w:bCs/>
          <w:lang w:val="en-GB"/>
        </w:rPr>
        <w:t>§ 3</w:t>
      </w:r>
    </w:p>
    <w:p w14:paraId="372D2237" w14:textId="27B98673" w:rsidR="000639A3" w:rsidRPr="00124D87" w:rsidRDefault="000639A3" w:rsidP="00D50590">
      <w:pPr>
        <w:pStyle w:val="Akapitzlist"/>
        <w:numPr>
          <w:ilvl w:val="0"/>
          <w:numId w:val="15"/>
        </w:numPr>
        <w:spacing w:after="0" w:line="360" w:lineRule="auto"/>
        <w:ind w:left="284" w:hanging="284"/>
        <w:mirrorIndents/>
        <w:rPr>
          <w:rFonts w:asciiTheme="minorHAnsi" w:hAnsiTheme="minorHAnsi" w:cstheme="minorHAnsi"/>
          <w:b/>
          <w:sz w:val="24"/>
          <w:szCs w:val="24"/>
          <w:lang w:val="en-US"/>
        </w:rPr>
      </w:pPr>
      <w:r>
        <w:rPr>
          <w:rFonts w:asciiTheme="minorHAnsi" w:hAnsiTheme="minorHAnsi" w:cstheme="minorHAnsi"/>
          <w:sz w:val="24"/>
          <w:szCs w:val="24"/>
          <w:lang w:val="en-GB"/>
        </w:rPr>
        <w:t>The post-doctoral degree is conferred on the person, who:</w:t>
      </w:r>
    </w:p>
    <w:p w14:paraId="5986738B" w14:textId="1EE70650" w:rsidR="000639A3" w:rsidRDefault="000639A3" w:rsidP="00D50590">
      <w:pPr>
        <w:pStyle w:val="Akapitzlist"/>
        <w:numPr>
          <w:ilvl w:val="0"/>
          <w:numId w:val="13"/>
        </w:numPr>
        <w:spacing w:after="0" w:line="360" w:lineRule="auto"/>
        <w:ind w:left="567"/>
        <w:rPr>
          <w:rFonts w:asciiTheme="minorHAnsi" w:hAnsiTheme="minorHAnsi" w:cstheme="minorHAnsi"/>
          <w:sz w:val="24"/>
          <w:szCs w:val="24"/>
        </w:rPr>
      </w:pPr>
      <w:r>
        <w:rPr>
          <w:rFonts w:asciiTheme="minorHAnsi" w:hAnsiTheme="minorHAnsi" w:cstheme="minorHAnsi"/>
          <w:sz w:val="24"/>
          <w:szCs w:val="24"/>
          <w:lang w:val="en-GB"/>
        </w:rPr>
        <w:t xml:space="preserve">holds the doctoral degree; </w:t>
      </w:r>
    </w:p>
    <w:p w14:paraId="160B73FD" w14:textId="399ED107" w:rsidR="000639A3" w:rsidRPr="00124D87" w:rsidRDefault="000639A3" w:rsidP="00D50590">
      <w:pPr>
        <w:pStyle w:val="Akapitzlist"/>
        <w:numPr>
          <w:ilvl w:val="0"/>
          <w:numId w:val="13"/>
        </w:numPr>
        <w:spacing w:after="0" w:line="360" w:lineRule="auto"/>
        <w:ind w:left="567"/>
        <w:rPr>
          <w:rFonts w:asciiTheme="minorHAnsi" w:hAnsiTheme="minorHAnsi" w:cstheme="minorHAnsi"/>
          <w:sz w:val="24"/>
          <w:szCs w:val="24"/>
          <w:lang w:val="en-US"/>
        </w:rPr>
      </w:pPr>
      <w:r>
        <w:rPr>
          <w:rFonts w:asciiTheme="minorHAnsi" w:hAnsiTheme="minorHAnsi" w:cstheme="minorHAnsi"/>
          <w:sz w:val="24"/>
          <w:szCs w:val="24"/>
          <w:lang w:val="en-GB"/>
        </w:rPr>
        <w:t xml:space="preserve">has scientific achievements, constituting a significant contribution to the development of a given discipline, including at least: </w:t>
      </w:r>
    </w:p>
    <w:p w14:paraId="506D783E" w14:textId="328730C8" w:rsidR="000639A3" w:rsidRPr="00124D87" w:rsidRDefault="000639A3" w:rsidP="00D50590">
      <w:pPr>
        <w:pStyle w:val="Akapitzlist"/>
        <w:numPr>
          <w:ilvl w:val="1"/>
          <w:numId w:val="14"/>
        </w:numPr>
        <w:spacing w:after="0" w:line="360" w:lineRule="auto"/>
        <w:ind w:left="993"/>
        <w:rPr>
          <w:rFonts w:asciiTheme="minorHAnsi" w:hAnsiTheme="minorHAnsi" w:cstheme="minorHAnsi"/>
          <w:sz w:val="24"/>
          <w:szCs w:val="24"/>
          <w:lang w:val="en-US"/>
        </w:rPr>
      </w:pPr>
      <w:r>
        <w:rPr>
          <w:rFonts w:asciiTheme="minorHAnsi" w:hAnsiTheme="minorHAnsi" w:cstheme="minorHAnsi"/>
          <w:sz w:val="24"/>
          <w:szCs w:val="24"/>
          <w:lang w:val="en-GB"/>
        </w:rPr>
        <w:t xml:space="preserve">1 scientific monograph published by a publishing house which, in the year of publication of the monograph in its final form, was included in the list drawn up in accordance with the regulations issued pursuant to Article 267 sec.2 item 2 (a) of the Act, or </w:t>
      </w:r>
    </w:p>
    <w:p w14:paraId="12AAB95E" w14:textId="4EF8053A" w:rsidR="003C79E7" w:rsidRPr="00124D87" w:rsidRDefault="000639A3" w:rsidP="00D50590">
      <w:pPr>
        <w:pStyle w:val="Akapitzlist"/>
        <w:numPr>
          <w:ilvl w:val="1"/>
          <w:numId w:val="14"/>
        </w:numPr>
        <w:spacing w:after="0" w:line="360" w:lineRule="auto"/>
        <w:ind w:left="993"/>
        <w:rPr>
          <w:rFonts w:asciiTheme="minorHAnsi" w:hAnsiTheme="minorHAnsi" w:cstheme="minorHAnsi"/>
          <w:sz w:val="24"/>
          <w:szCs w:val="24"/>
          <w:lang w:val="en-US"/>
        </w:rPr>
      </w:pPr>
      <w:r>
        <w:rPr>
          <w:rFonts w:asciiTheme="minorHAnsi" w:hAnsiTheme="minorHAnsi" w:cstheme="minorHAnsi"/>
          <w:sz w:val="24"/>
          <w:szCs w:val="24"/>
          <w:lang w:val="en-GB"/>
        </w:rPr>
        <w:t xml:space="preserve">1 series of thematically related scientific articles published in scientific journals or in peer-reviewed materials from international conferences, which in the year of publication of the article in its final form were included in the list drawn up in </w:t>
      </w:r>
      <w:r>
        <w:rPr>
          <w:rFonts w:asciiTheme="minorHAnsi" w:hAnsiTheme="minorHAnsi" w:cstheme="minorHAnsi"/>
          <w:sz w:val="24"/>
          <w:szCs w:val="24"/>
          <w:lang w:val="en-GB"/>
        </w:rPr>
        <w:lastRenderedPageBreak/>
        <w:t xml:space="preserve">accordance with the provisions issued pursuant to Art. 267 sec. 2 point 2 lit. b of the Act, or </w:t>
      </w:r>
    </w:p>
    <w:p w14:paraId="3A9612A1" w14:textId="5BA47B9F" w:rsidR="000639A3" w:rsidRPr="00124D87" w:rsidRDefault="000639A3" w:rsidP="00D50590">
      <w:pPr>
        <w:pStyle w:val="Akapitzlist"/>
        <w:numPr>
          <w:ilvl w:val="1"/>
          <w:numId w:val="14"/>
        </w:numPr>
        <w:spacing w:after="0" w:line="360" w:lineRule="auto"/>
        <w:ind w:left="993"/>
        <w:rPr>
          <w:rFonts w:asciiTheme="minorHAnsi" w:hAnsiTheme="minorHAnsi" w:cstheme="minorHAnsi"/>
          <w:sz w:val="24"/>
          <w:szCs w:val="24"/>
          <w:lang w:val="en-US"/>
        </w:rPr>
      </w:pPr>
      <w:r>
        <w:rPr>
          <w:rFonts w:asciiTheme="minorHAnsi" w:hAnsiTheme="minorHAnsi" w:cstheme="minorHAnsi"/>
          <w:sz w:val="24"/>
          <w:szCs w:val="24"/>
          <w:lang w:val="en-GB"/>
        </w:rPr>
        <w:t>1 completed original design, construction or technological achievement;</w:t>
      </w:r>
    </w:p>
    <w:p w14:paraId="2A558F45" w14:textId="388384D8" w:rsidR="000639A3" w:rsidRPr="00124D87" w:rsidRDefault="000639A3" w:rsidP="00D50590">
      <w:pPr>
        <w:pStyle w:val="Akapitzlist"/>
        <w:numPr>
          <w:ilvl w:val="0"/>
          <w:numId w:val="13"/>
        </w:numPr>
        <w:spacing w:after="0" w:line="360" w:lineRule="auto"/>
        <w:ind w:left="567"/>
        <w:rPr>
          <w:rFonts w:asciiTheme="minorHAnsi" w:hAnsiTheme="minorHAnsi" w:cstheme="minorHAnsi"/>
          <w:sz w:val="24"/>
          <w:szCs w:val="24"/>
          <w:lang w:val="en-US"/>
        </w:rPr>
      </w:pPr>
      <w:r>
        <w:rPr>
          <w:rFonts w:asciiTheme="minorHAnsi" w:hAnsiTheme="minorHAnsi" w:cstheme="minorHAnsi"/>
          <w:sz w:val="24"/>
          <w:szCs w:val="24"/>
          <w:lang w:val="en-GB"/>
        </w:rPr>
        <w:t xml:space="preserve">demonstrates significant scientific activity carried out at more than one university or scientific institution, in particular a foreign one. </w:t>
      </w:r>
    </w:p>
    <w:p w14:paraId="2F66094F" w14:textId="2FC23A1E" w:rsidR="000639A3" w:rsidRPr="00124D87" w:rsidRDefault="000639A3" w:rsidP="00D50590">
      <w:pPr>
        <w:pStyle w:val="Akapitzlist"/>
        <w:numPr>
          <w:ilvl w:val="0"/>
          <w:numId w:val="15"/>
        </w:numPr>
        <w:spacing w:after="0" w:line="360" w:lineRule="auto"/>
        <w:ind w:left="284" w:hanging="284"/>
        <w:mirrorIndents/>
        <w:rPr>
          <w:rFonts w:asciiTheme="minorHAnsi" w:hAnsiTheme="minorHAnsi" w:cstheme="minorHAnsi"/>
          <w:b/>
          <w:sz w:val="24"/>
          <w:szCs w:val="24"/>
          <w:lang w:val="en-US"/>
        </w:rPr>
      </w:pPr>
      <w:r>
        <w:rPr>
          <w:rFonts w:asciiTheme="minorHAnsi" w:hAnsiTheme="minorHAnsi" w:cstheme="minorHAnsi"/>
          <w:sz w:val="24"/>
          <w:szCs w:val="24"/>
          <w:lang w:val="en-GB"/>
        </w:rPr>
        <w:t>The achievement referred to in sec. 1 point 2 may be part of a collective work, if the development of a separate issue is an individual contribution of the person applying for the post-doctoral degree.</w:t>
      </w:r>
    </w:p>
    <w:p w14:paraId="787FDADC" w14:textId="52E0CA76" w:rsidR="000639A3" w:rsidRPr="00124D87" w:rsidRDefault="000639A3" w:rsidP="00D50590">
      <w:pPr>
        <w:pStyle w:val="Akapitzlist"/>
        <w:numPr>
          <w:ilvl w:val="0"/>
          <w:numId w:val="15"/>
        </w:numPr>
        <w:spacing w:after="0" w:line="360" w:lineRule="auto"/>
        <w:ind w:left="284" w:hanging="284"/>
        <w:mirrorIndents/>
        <w:rPr>
          <w:rFonts w:asciiTheme="minorHAnsi" w:hAnsiTheme="minorHAnsi" w:cstheme="minorHAnsi"/>
          <w:b/>
          <w:sz w:val="24"/>
          <w:szCs w:val="24"/>
          <w:lang w:val="en-US"/>
        </w:rPr>
      </w:pPr>
      <w:r>
        <w:rPr>
          <w:rFonts w:asciiTheme="minorHAnsi" w:hAnsiTheme="minorHAnsi" w:cstheme="minorHAnsi"/>
          <w:sz w:val="24"/>
          <w:szCs w:val="24"/>
          <w:lang w:val="en-GB"/>
        </w:rPr>
        <w:t xml:space="preserve">The obligation to publish does not apply to achievements the subject of which is covered by the protection of classified information. </w:t>
      </w:r>
    </w:p>
    <w:p w14:paraId="482D9054" w14:textId="77777777" w:rsidR="007F29F9" w:rsidRPr="00EC6AEA" w:rsidRDefault="007F29F9" w:rsidP="007F29F9">
      <w:pPr>
        <w:pStyle w:val="Nagwek1"/>
      </w:pPr>
      <w:r>
        <w:rPr>
          <w:bCs/>
          <w:lang w:val="en-GB"/>
        </w:rPr>
        <w:t xml:space="preserve">Initiation of procedure </w:t>
      </w:r>
    </w:p>
    <w:p w14:paraId="749DF74C" w14:textId="77777777" w:rsidR="00DE5548" w:rsidRPr="00EC6AEA" w:rsidRDefault="009B66B6" w:rsidP="007F29F9">
      <w:pPr>
        <w:pStyle w:val="Nagwek2"/>
      </w:pPr>
      <w:r>
        <w:rPr>
          <w:bCs/>
          <w:lang w:val="en-GB"/>
        </w:rPr>
        <w:t>§ 4</w:t>
      </w:r>
    </w:p>
    <w:p w14:paraId="07B79EEF" w14:textId="585EC90D" w:rsidR="000639A3" w:rsidRPr="00124D87" w:rsidRDefault="000639A3" w:rsidP="00D50590">
      <w:pPr>
        <w:pStyle w:val="Akapitzlist"/>
        <w:numPr>
          <w:ilvl w:val="2"/>
          <w:numId w:val="16"/>
        </w:numPr>
        <w:spacing w:after="0" w:line="360" w:lineRule="auto"/>
        <w:ind w:left="284" w:hanging="322"/>
        <w:mirrorIndents/>
        <w:rPr>
          <w:rFonts w:asciiTheme="minorHAnsi" w:hAnsiTheme="minorHAnsi" w:cstheme="minorHAnsi"/>
          <w:sz w:val="24"/>
          <w:szCs w:val="24"/>
          <w:lang w:val="en-US"/>
        </w:rPr>
      </w:pPr>
      <w:r>
        <w:rPr>
          <w:rFonts w:asciiTheme="minorHAnsi" w:hAnsiTheme="minorHAnsi" w:cstheme="minorHAnsi"/>
          <w:sz w:val="24"/>
          <w:szCs w:val="24"/>
          <w:lang w:val="en-GB"/>
        </w:rPr>
        <w:t xml:space="preserve">The procedure for conferring the post-doctoral degree shall be initiated upon an application submitted to the University through the </w:t>
      </w:r>
      <w:r w:rsidR="00241D71" w:rsidRPr="0069272F">
        <w:rPr>
          <w:rFonts w:asciiTheme="minorHAnsi" w:hAnsiTheme="minorHAnsi" w:cstheme="minorHAnsi"/>
          <w:sz w:val="24"/>
          <w:szCs w:val="24"/>
          <w:lang w:val="en-GB"/>
        </w:rPr>
        <w:t xml:space="preserve">Council of Scientific Excellence </w:t>
      </w:r>
      <w:r>
        <w:rPr>
          <w:rFonts w:asciiTheme="minorHAnsi" w:hAnsiTheme="minorHAnsi" w:cstheme="minorHAnsi"/>
          <w:sz w:val="24"/>
          <w:szCs w:val="24"/>
          <w:lang w:val="en-GB"/>
        </w:rPr>
        <w:t xml:space="preserve">(hereinafter referred to as the </w:t>
      </w:r>
      <w:r w:rsidR="0069272F">
        <w:rPr>
          <w:rFonts w:asciiTheme="minorHAnsi" w:hAnsiTheme="minorHAnsi" w:cstheme="minorHAnsi"/>
          <w:sz w:val="24"/>
          <w:szCs w:val="24"/>
          <w:lang w:val="en-GB"/>
        </w:rPr>
        <w:t>CSE</w:t>
      </w:r>
      <w:r>
        <w:rPr>
          <w:rFonts w:asciiTheme="minorHAnsi" w:hAnsiTheme="minorHAnsi" w:cstheme="minorHAnsi"/>
          <w:sz w:val="24"/>
          <w:szCs w:val="24"/>
          <w:lang w:val="en-GB"/>
        </w:rPr>
        <w:t xml:space="preserve">). </w:t>
      </w:r>
    </w:p>
    <w:p w14:paraId="2A58F34B" w14:textId="2C88B177" w:rsidR="000639A3" w:rsidRDefault="000639A3" w:rsidP="00D50590">
      <w:pPr>
        <w:pStyle w:val="Akapitzlist"/>
        <w:numPr>
          <w:ilvl w:val="2"/>
          <w:numId w:val="16"/>
        </w:numPr>
        <w:spacing w:after="0" w:line="360" w:lineRule="auto"/>
        <w:ind w:left="284" w:hanging="322"/>
        <w:mirrorIndents/>
        <w:rPr>
          <w:rFonts w:asciiTheme="minorHAnsi" w:hAnsiTheme="minorHAnsi" w:cstheme="minorHAnsi"/>
          <w:sz w:val="24"/>
          <w:szCs w:val="24"/>
        </w:rPr>
      </w:pPr>
      <w:r>
        <w:rPr>
          <w:rFonts w:asciiTheme="minorHAnsi" w:hAnsiTheme="minorHAnsi" w:cstheme="minorHAnsi"/>
          <w:sz w:val="24"/>
          <w:szCs w:val="24"/>
          <w:lang w:val="en-GB"/>
        </w:rPr>
        <w:t xml:space="preserve">Application includes: </w:t>
      </w:r>
    </w:p>
    <w:p w14:paraId="317A4E20" w14:textId="37E42C33" w:rsidR="000639A3" w:rsidRPr="00EC6AEA" w:rsidRDefault="000639A3" w:rsidP="00D50590">
      <w:pPr>
        <w:pStyle w:val="Akapitzlist"/>
        <w:numPr>
          <w:ilvl w:val="0"/>
          <w:numId w:val="10"/>
        </w:numPr>
        <w:spacing w:after="0" w:line="360" w:lineRule="auto"/>
        <w:ind w:left="426"/>
        <w:mirrorIndents/>
        <w:rPr>
          <w:rFonts w:asciiTheme="minorHAnsi" w:hAnsiTheme="minorHAnsi" w:cstheme="minorHAnsi"/>
          <w:sz w:val="24"/>
          <w:szCs w:val="24"/>
        </w:rPr>
      </w:pPr>
      <w:r>
        <w:rPr>
          <w:rFonts w:asciiTheme="minorHAnsi" w:hAnsiTheme="minorHAnsi" w:cstheme="minorHAnsi"/>
          <w:sz w:val="24"/>
          <w:szCs w:val="24"/>
          <w:lang w:val="en-GB"/>
        </w:rPr>
        <w:t xml:space="preserve">career description; </w:t>
      </w:r>
    </w:p>
    <w:p w14:paraId="3C13FF36" w14:textId="47807160" w:rsidR="000639A3" w:rsidRPr="00124D87" w:rsidRDefault="000639A3" w:rsidP="00D50590">
      <w:pPr>
        <w:pStyle w:val="Akapitzlist"/>
        <w:numPr>
          <w:ilvl w:val="0"/>
          <w:numId w:val="10"/>
        </w:numPr>
        <w:spacing w:after="0" w:line="360" w:lineRule="auto"/>
        <w:ind w:left="426"/>
        <w:mirrorIndents/>
        <w:rPr>
          <w:rFonts w:asciiTheme="minorHAnsi" w:hAnsiTheme="minorHAnsi" w:cstheme="minorHAnsi"/>
          <w:sz w:val="24"/>
          <w:szCs w:val="24"/>
          <w:lang w:val="en-US"/>
        </w:rPr>
      </w:pPr>
      <w:r>
        <w:rPr>
          <w:rFonts w:asciiTheme="minorHAnsi" w:hAnsiTheme="minorHAnsi" w:cstheme="minorHAnsi"/>
          <w:sz w:val="24"/>
          <w:szCs w:val="24"/>
          <w:lang w:val="en-GB"/>
        </w:rPr>
        <w:t>list of achievements referred to in §3 section 1 point 2;</w:t>
      </w:r>
    </w:p>
    <w:p w14:paraId="66328F6F" w14:textId="470CCC38" w:rsidR="000639A3" w:rsidRPr="00124D87" w:rsidRDefault="000639A3" w:rsidP="00D50590">
      <w:pPr>
        <w:pStyle w:val="Akapitzlist"/>
        <w:numPr>
          <w:ilvl w:val="0"/>
          <w:numId w:val="10"/>
        </w:numPr>
        <w:spacing w:after="0" w:line="360" w:lineRule="auto"/>
        <w:ind w:left="426"/>
        <w:mirrorIndents/>
        <w:rPr>
          <w:rFonts w:asciiTheme="minorHAnsi" w:hAnsiTheme="minorHAnsi" w:cstheme="minorHAnsi"/>
          <w:sz w:val="24"/>
          <w:szCs w:val="24"/>
          <w:lang w:val="en-US"/>
        </w:rPr>
      </w:pPr>
      <w:r>
        <w:rPr>
          <w:rFonts w:asciiTheme="minorHAnsi" w:hAnsiTheme="minorHAnsi" w:cstheme="minorHAnsi"/>
          <w:sz w:val="24"/>
          <w:szCs w:val="24"/>
          <w:lang w:val="en-GB"/>
        </w:rPr>
        <w:t xml:space="preserve">indication of the post-doctoral entity selected to conduct the procedure for conferring the post-doctoral degree. </w:t>
      </w:r>
    </w:p>
    <w:p w14:paraId="09C982D6" w14:textId="19752373" w:rsidR="002B2FD3" w:rsidRPr="00124D87" w:rsidRDefault="005E470D" w:rsidP="00D50590">
      <w:pPr>
        <w:pStyle w:val="Akapitzlist"/>
        <w:numPr>
          <w:ilvl w:val="2"/>
          <w:numId w:val="16"/>
        </w:numPr>
        <w:spacing w:after="0" w:line="360" w:lineRule="auto"/>
        <w:ind w:left="284" w:hanging="322"/>
        <w:mirrorIndents/>
        <w:rPr>
          <w:rFonts w:asciiTheme="minorHAnsi" w:hAnsiTheme="minorHAnsi" w:cstheme="minorHAnsi"/>
          <w:sz w:val="24"/>
          <w:szCs w:val="24"/>
          <w:lang w:val="en-US"/>
        </w:rPr>
      </w:pPr>
      <w:r>
        <w:rPr>
          <w:rFonts w:asciiTheme="minorHAnsi" w:hAnsiTheme="minorHAnsi" w:cstheme="minorHAnsi"/>
          <w:sz w:val="24"/>
          <w:szCs w:val="24"/>
          <w:lang w:val="en-GB"/>
        </w:rPr>
        <w:t>The application should meet the requirements set by the Council of Scientific Excellence.</w:t>
      </w:r>
    </w:p>
    <w:p w14:paraId="49296AEA" w14:textId="77777777" w:rsidR="007F29F9" w:rsidRPr="00EC6AEA" w:rsidRDefault="007F29F9" w:rsidP="007F29F9">
      <w:pPr>
        <w:pStyle w:val="Nagwek1"/>
      </w:pPr>
      <w:r>
        <w:rPr>
          <w:bCs/>
          <w:lang w:val="en-GB"/>
        </w:rPr>
        <w:t>Proceedings</w:t>
      </w:r>
    </w:p>
    <w:p w14:paraId="35BF0D93" w14:textId="77777777" w:rsidR="00DE5548" w:rsidRPr="00EC6AEA" w:rsidRDefault="0046718C" w:rsidP="007F29F9">
      <w:pPr>
        <w:pStyle w:val="Nagwek2"/>
      </w:pPr>
      <w:r>
        <w:rPr>
          <w:bCs/>
          <w:lang w:val="en-GB"/>
        </w:rPr>
        <w:t>§ 5</w:t>
      </w:r>
    </w:p>
    <w:p w14:paraId="1696F023" w14:textId="0317F3BA" w:rsidR="000639A3" w:rsidRPr="00124D87" w:rsidRDefault="000639A3" w:rsidP="00D50590">
      <w:pPr>
        <w:numPr>
          <w:ilvl w:val="0"/>
          <w:numId w:val="5"/>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 xml:space="preserve">The </w:t>
      </w:r>
      <w:r w:rsidR="0069272F" w:rsidRPr="0069272F">
        <w:rPr>
          <w:rFonts w:asciiTheme="minorHAnsi" w:hAnsiTheme="minorHAnsi" w:cstheme="minorHAnsi"/>
          <w:sz w:val="24"/>
          <w:szCs w:val="24"/>
          <w:lang w:val="en-GB"/>
        </w:rPr>
        <w:t>CSE</w:t>
      </w:r>
      <w:r w:rsidRPr="0069272F">
        <w:rPr>
          <w:rFonts w:asciiTheme="minorHAnsi" w:hAnsiTheme="minorHAnsi" w:cstheme="minorHAnsi"/>
          <w:sz w:val="24"/>
          <w:szCs w:val="24"/>
          <w:lang w:val="en-GB"/>
        </w:rPr>
        <w:t xml:space="preserve"> performs </w:t>
      </w:r>
      <w:r>
        <w:rPr>
          <w:rFonts w:asciiTheme="minorHAnsi" w:hAnsiTheme="minorHAnsi" w:cstheme="minorHAnsi"/>
          <w:sz w:val="24"/>
          <w:szCs w:val="24"/>
          <w:lang w:val="en-GB"/>
        </w:rPr>
        <w:t xml:space="preserve">a formal assessment of the application and submits it to the University within 4 weeks from the date of its receipt. </w:t>
      </w:r>
    </w:p>
    <w:p w14:paraId="37873945" w14:textId="11530F1E" w:rsidR="00805FCB" w:rsidRPr="00124D87" w:rsidRDefault="005E470D" w:rsidP="00D50590">
      <w:pPr>
        <w:numPr>
          <w:ilvl w:val="0"/>
          <w:numId w:val="5"/>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After the application is received by the University, the appropriate Council of the College, hereinafter referred to as the “Council", performs a preliminary assessment of the application and submits it, together with its opinion, to the Senate.</w:t>
      </w:r>
    </w:p>
    <w:p w14:paraId="5772F8AB" w14:textId="43B4D0CD" w:rsidR="000639A3" w:rsidRPr="00124D87" w:rsidRDefault="000639A3" w:rsidP="00D50590">
      <w:pPr>
        <w:numPr>
          <w:ilvl w:val="0"/>
          <w:numId w:val="5"/>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 xml:space="preserve">Within 4 weeks from the date of receipt of the application by the University, the Senate may refuse to consent to the conduct of the procedure for the conferring a post-doctoral degree, if the criteria applicable at the University, set out in Annex 2a, have not been met. If the Senate does not consent, the application is returned to the Council of Scientific Excellence, which immediately appoints another post-doctoral entity and forwards the application to that entity. </w:t>
      </w:r>
    </w:p>
    <w:p w14:paraId="70BAAD02" w14:textId="3D68F46E" w:rsidR="000639A3" w:rsidRPr="00124D87" w:rsidRDefault="000639A3" w:rsidP="00D50590">
      <w:pPr>
        <w:numPr>
          <w:ilvl w:val="0"/>
          <w:numId w:val="5"/>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lastRenderedPageBreak/>
        <w:t xml:space="preserve">Within 12 weeks from the date of receipt of the application, the Council of Scientific Excellence appoints 4 members of </w:t>
      </w:r>
      <w:r w:rsidRPr="0069272F">
        <w:rPr>
          <w:rFonts w:asciiTheme="minorHAnsi" w:hAnsiTheme="minorHAnsi" w:cstheme="minorHAnsi"/>
          <w:sz w:val="24"/>
          <w:szCs w:val="24"/>
          <w:lang w:val="en-GB"/>
        </w:rPr>
        <w:t xml:space="preserve">the </w:t>
      </w:r>
      <w:r w:rsidR="0069272F" w:rsidRPr="0069272F">
        <w:rPr>
          <w:rFonts w:asciiTheme="minorHAnsi" w:hAnsiTheme="minorHAnsi" w:cstheme="minorHAnsi"/>
          <w:sz w:val="24"/>
          <w:szCs w:val="24"/>
          <w:lang w:val="en-GB"/>
        </w:rPr>
        <w:t>Habilitation C</w:t>
      </w:r>
      <w:r w:rsidRPr="0069272F">
        <w:rPr>
          <w:rFonts w:asciiTheme="minorHAnsi" w:hAnsiTheme="minorHAnsi" w:cstheme="minorHAnsi"/>
          <w:sz w:val="24"/>
          <w:szCs w:val="24"/>
          <w:lang w:val="en-GB"/>
        </w:rPr>
        <w:t xml:space="preserve">ommittee, </w:t>
      </w:r>
      <w:r>
        <w:rPr>
          <w:rFonts w:asciiTheme="minorHAnsi" w:hAnsiTheme="minorHAnsi" w:cstheme="minorHAnsi"/>
          <w:sz w:val="24"/>
          <w:szCs w:val="24"/>
          <w:lang w:val="en-GB"/>
        </w:rPr>
        <w:t xml:space="preserve">including the chairman and 3 reviewers, from among persons with a post-doctoral degree or the title of professor and current scientific </w:t>
      </w:r>
      <w:r w:rsidRPr="0069272F">
        <w:rPr>
          <w:rFonts w:asciiTheme="minorHAnsi" w:hAnsiTheme="minorHAnsi" w:cstheme="minorHAnsi"/>
          <w:sz w:val="24"/>
          <w:szCs w:val="24"/>
          <w:lang w:val="en-GB"/>
        </w:rPr>
        <w:t xml:space="preserve">achievements and </w:t>
      </w:r>
      <w:r w:rsidR="0069272F" w:rsidRPr="0069272F">
        <w:rPr>
          <w:rFonts w:asciiTheme="minorHAnsi" w:hAnsiTheme="minorHAnsi" w:cstheme="minorHAnsi"/>
          <w:sz w:val="24"/>
          <w:szCs w:val="24"/>
          <w:lang w:val="en-GB"/>
        </w:rPr>
        <w:t>established</w:t>
      </w:r>
      <w:r w:rsidRPr="0069272F">
        <w:rPr>
          <w:rFonts w:asciiTheme="minorHAnsi" w:hAnsiTheme="minorHAnsi" w:cstheme="minorHAnsi"/>
          <w:sz w:val="24"/>
          <w:szCs w:val="24"/>
          <w:lang w:val="en-GB"/>
        </w:rPr>
        <w:t xml:space="preserve"> reputation, including </w:t>
      </w:r>
      <w:r>
        <w:rPr>
          <w:rFonts w:asciiTheme="minorHAnsi" w:hAnsiTheme="minorHAnsi" w:cstheme="minorHAnsi"/>
          <w:sz w:val="24"/>
          <w:szCs w:val="24"/>
          <w:lang w:val="en-GB"/>
        </w:rPr>
        <w:t>international, who are not employees of the post-doctoral entity or university, an institute of the Polish Academy of Sciences, a research institute or an international institute whose employee is the person applying for the post-doctoral</w:t>
      </w:r>
      <w:r w:rsidR="00124D87">
        <w:rPr>
          <w:rFonts w:asciiTheme="minorHAnsi" w:hAnsiTheme="minorHAnsi" w:cstheme="minorHAnsi"/>
          <w:sz w:val="24"/>
          <w:szCs w:val="24"/>
          <w:lang w:val="en-GB"/>
        </w:rPr>
        <w:t xml:space="preserve"> degree</w:t>
      </w:r>
      <w:r>
        <w:rPr>
          <w:rFonts w:asciiTheme="minorHAnsi" w:hAnsiTheme="minorHAnsi" w:cstheme="minorHAnsi"/>
          <w:sz w:val="24"/>
          <w:szCs w:val="24"/>
          <w:lang w:val="en-GB"/>
        </w:rPr>
        <w:t xml:space="preserve">. </w:t>
      </w:r>
    </w:p>
    <w:p w14:paraId="448C0D5A" w14:textId="381A9BDB" w:rsidR="00805FCB" w:rsidRPr="00124D87" w:rsidRDefault="00492D88" w:rsidP="00D50590">
      <w:pPr>
        <w:numPr>
          <w:ilvl w:val="0"/>
          <w:numId w:val="5"/>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 xml:space="preserve">The competent council, in a secret ballot, appoints candidates for members of the </w:t>
      </w:r>
      <w:r w:rsidR="0069272F" w:rsidRPr="0069272F">
        <w:rPr>
          <w:rFonts w:asciiTheme="minorHAnsi" w:hAnsiTheme="minorHAnsi" w:cstheme="minorHAnsi"/>
          <w:sz w:val="24"/>
          <w:szCs w:val="24"/>
          <w:lang w:val="en-GB"/>
        </w:rPr>
        <w:t>Habilitation Committee</w:t>
      </w:r>
      <w:r w:rsidR="0069272F">
        <w:rPr>
          <w:rFonts w:asciiTheme="minorHAnsi" w:hAnsiTheme="minorHAnsi" w:cstheme="minorHAnsi"/>
          <w:sz w:val="24"/>
          <w:szCs w:val="24"/>
          <w:lang w:val="en-GB"/>
        </w:rPr>
        <w:t xml:space="preserve"> </w:t>
      </w:r>
      <w:r>
        <w:rPr>
          <w:rFonts w:asciiTheme="minorHAnsi" w:hAnsiTheme="minorHAnsi" w:cstheme="minorHAnsi"/>
          <w:sz w:val="24"/>
          <w:szCs w:val="24"/>
          <w:lang w:val="en-GB"/>
        </w:rPr>
        <w:t xml:space="preserve">and presents them to the Senate for the purpose of appointing the </w:t>
      </w:r>
      <w:r w:rsidR="0069272F" w:rsidRPr="0069272F">
        <w:rPr>
          <w:rFonts w:asciiTheme="minorHAnsi" w:hAnsiTheme="minorHAnsi" w:cstheme="minorHAnsi"/>
          <w:sz w:val="24"/>
          <w:szCs w:val="24"/>
          <w:lang w:val="en-GB"/>
        </w:rPr>
        <w:t>Habilitation Committee</w:t>
      </w:r>
      <w:r>
        <w:rPr>
          <w:rFonts w:asciiTheme="minorHAnsi" w:hAnsiTheme="minorHAnsi" w:cstheme="minorHAnsi"/>
          <w:sz w:val="24"/>
          <w:szCs w:val="24"/>
          <w:lang w:val="en-GB"/>
        </w:rPr>
        <w:t xml:space="preserve">. </w:t>
      </w:r>
    </w:p>
    <w:p w14:paraId="4BE917A0" w14:textId="24B46E14" w:rsidR="000639A3" w:rsidRPr="0069272F" w:rsidRDefault="00A025E7" w:rsidP="00D50590">
      <w:pPr>
        <w:numPr>
          <w:ilvl w:val="0"/>
          <w:numId w:val="5"/>
        </w:numPr>
        <w:spacing w:after="0" w:line="360" w:lineRule="auto"/>
        <w:ind w:left="284" w:hanging="284"/>
        <w:rPr>
          <w:rFonts w:asciiTheme="minorHAnsi" w:hAnsiTheme="minorHAnsi" w:cstheme="minorHAnsi"/>
          <w:sz w:val="24"/>
          <w:szCs w:val="24"/>
          <w:lang w:val="en-GB"/>
        </w:rPr>
      </w:pPr>
      <w:r>
        <w:rPr>
          <w:rFonts w:asciiTheme="minorHAnsi" w:hAnsiTheme="minorHAnsi" w:cstheme="minorHAnsi"/>
          <w:sz w:val="24"/>
          <w:szCs w:val="24"/>
          <w:lang w:val="en-GB"/>
        </w:rPr>
        <w:t xml:space="preserve">The Senate, within 6 weeks from the date of receipt of information about the members of the </w:t>
      </w:r>
      <w:r w:rsidR="0069272F" w:rsidRPr="0069272F">
        <w:rPr>
          <w:rFonts w:asciiTheme="minorHAnsi" w:hAnsiTheme="minorHAnsi" w:cstheme="minorHAnsi"/>
          <w:sz w:val="24"/>
          <w:szCs w:val="24"/>
          <w:lang w:val="en-GB"/>
        </w:rPr>
        <w:t>Habilitation Committee</w:t>
      </w:r>
      <w:r w:rsidR="0069272F">
        <w:rPr>
          <w:rFonts w:asciiTheme="minorHAnsi" w:hAnsiTheme="minorHAnsi" w:cstheme="minorHAnsi"/>
          <w:sz w:val="24"/>
          <w:szCs w:val="24"/>
          <w:lang w:val="en-GB"/>
        </w:rPr>
        <w:t xml:space="preserve"> </w:t>
      </w:r>
      <w:r>
        <w:rPr>
          <w:rFonts w:asciiTheme="minorHAnsi" w:hAnsiTheme="minorHAnsi" w:cstheme="minorHAnsi"/>
          <w:sz w:val="24"/>
          <w:szCs w:val="24"/>
          <w:lang w:val="en-GB"/>
        </w:rPr>
        <w:t>appointed by the Council of Scientific Excellence, appoints the</w:t>
      </w:r>
      <w:r w:rsidR="0069272F">
        <w:rPr>
          <w:rFonts w:asciiTheme="minorHAnsi" w:hAnsiTheme="minorHAnsi" w:cstheme="minorHAnsi"/>
          <w:color w:val="FF0000"/>
          <w:sz w:val="24"/>
          <w:szCs w:val="24"/>
          <w:lang w:val="en-GB"/>
        </w:rPr>
        <w:t xml:space="preserve"> </w:t>
      </w:r>
      <w:r w:rsidR="0069272F" w:rsidRPr="0069272F">
        <w:rPr>
          <w:rFonts w:asciiTheme="minorHAnsi" w:hAnsiTheme="minorHAnsi" w:cstheme="minorHAnsi"/>
          <w:sz w:val="24"/>
          <w:szCs w:val="24"/>
          <w:lang w:val="en-GB"/>
        </w:rPr>
        <w:t>Habilitation Committee</w:t>
      </w:r>
      <w:r>
        <w:rPr>
          <w:rFonts w:asciiTheme="minorHAnsi" w:hAnsiTheme="minorHAnsi" w:cstheme="minorHAnsi"/>
          <w:sz w:val="24"/>
          <w:szCs w:val="24"/>
          <w:lang w:val="en-GB"/>
        </w:rPr>
        <w:t xml:space="preserve">. The committee consists of: </w:t>
      </w:r>
    </w:p>
    <w:p w14:paraId="483C3E79" w14:textId="77777777" w:rsidR="000F05D2" w:rsidRPr="00124D87" w:rsidRDefault="000F05D2" w:rsidP="00D50590">
      <w:pPr>
        <w:numPr>
          <w:ilvl w:val="0"/>
          <w:numId w:val="1"/>
        </w:num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4 members appointed by the Council of Scientific Excellence; </w:t>
      </w:r>
    </w:p>
    <w:p w14:paraId="4A3590A2" w14:textId="642C8E8D" w:rsidR="000F05D2" w:rsidRPr="00124D87" w:rsidRDefault="000F05D2" w:rsidP="00D50590">
      <w:pPr>
        <w:numPr>
          <w:ilvl w:val="0"/>
          <w:numId w:val="1"/>
        </w:num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2 members with the post-doctoral degree or the title of professor, employed at the University, including the secretary; </w:t>
      </w:r>
    </w:p>
    <w:p w14:paraId="03FA672E" w14:textId="35804F78" w:rsidR="000F05D2" w:rsidRPr="00124D87" w:rsidRDefault="000F05D2" w:rsidP="00D50590">
      <w:pPr>
        <w:numPr>
          <w:ilvl w:val="0"/>
          <w:numId w:val="1"/>
        </w:num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a reviewer holding the post-doctoral degree or the title of professor and current scientific achievements </w:t>
      </w:r>
      <w:r w:rsidRPr="0069272F">
        <w:rPr>
          <w:rFonts w:asciiTheme="minorHAnsi" w:hAnsiTheme="minorHAnsi" w:cstheme="minorHAnsi"/>
          <w:sz w:val="24"/>
          <w:szCs w:val="24"/>
          <w:lang w:val="en-GB"/>
        </w:rPr>
        <w:t xml:space="preserve">and </w:t>
      </w:r>
      <w:r w:rsidR="0069272F" w:rsidRPr="0069272F">
        <w:rPr>
          <w:rFonts w:asciiTheme="minorHAnsi" w:hAnsiTheme="minorHAnsi" w:cstheme="minorHAnsi"/>
          <w:sz w:val="24"/>
          <w:szCs w:val="24"/>
          <w:lang w:val="en-GB"/>
        </w:rPr>
        <w:t>established</w:t>
      </w:r>
      <w:r w:rsidRPr="0069272F">
        <w:rPr>
          <w:rFonts w:asciiTheme="minorHAnsi" w:hAnsiTheme="minorHAnsi" w:cstheme="minorHAnsi"/>
          <w:sz w:val="24"/>
          <w:szCs w:val="24"/>
          <w:lang w:val="en-GB"/>
        </w:rPr>
        <w:t xml:space="preserve"> reputation, including </w:t>
      </w:r>
      <w:r>
        <w:rPr>
          <w:rFonts w:asciiTheme="minorHAnsi" w:hAnsiTheme="minorHAnsi" w:cstheme="minorHAnsi"/>
          <w:sz w:val="24"/>
          <w:szCs w:val="24"/>
          <w:lang w:val="en-GB"/>
        </w:rPr>
        <w:t>international, who is not an employee of the University.</w:t>
      </w:r>
    </w:p>
    <w:p w14:paraId="3854F866" w14:textId="42E26C56" w:rsidR="00124A1F" w:rsidRPr="00124D87" w:rsidRDefault="000639A3" w:rsidP="00D50590">
      <w:pPr>
        <w:numPr>
          <w:ilvl w:val="0"/>
          <w:numId w:val="7"/>
        </w:numPr>
        <w:spacing w:after="0" w:line="360" w:lineRule="auto"/>
        <w:ind w:left="426"/>
        <w:rPr>
          <w:rFonts w:asciiTheme="minorHAnsi" w:hAnsiTheme="minorHAnsi" w:cstheme="minorHAnsi"/>
          <w:sz w:val="24"/>
          <w:szCs w:val="24"/>
          <w:lang w:val="en-US"/>
        </w:rPr>
      </w:pPr>
      <w:r>
        <w:rPr>
          <w:rFonts w:asciiTheme="minorHAnsi" w:hAnsiTheme="minorHAnsi" w:cstheme="minorHAnsi"/>
          <w:sz w:val="24"/>
          <w:szCs w:val="24"/>
          <w:lang w:val="en-GB"/>
        </w:rPr>
        <w:t xml:space="preserve">A reviewer may be a person who does not meet the conditions set out in sec. 4 and 6, who is an employee of a foreign university or scientific institution, if </w:t>
      </w:r>
      <w:r w:rsidRPr="0069272F">
        <w:rPr>
          <w:rFonts w:asciiTheme="minorHAnsi" w:hAnsiTheme="minorHAnsi" w:cstheme="minorHAnsi"/>
          <w:sz w:val="24"/>
          <w:szCs w:val="24"/>
          <w:lang w:val="en-GB"/>
        </w:rPr>
        <w:t xml:space="preserve">the </w:t>
      </w:r>
      <w:r w:rsidR="0069272F" w:rsidRPr="0069272F">
        <w:rPr>
          <w:rFonts w:asciiTheme="minorHAnsi" w:hAnsiTheme="minorHAnsi" w:cstheme="minorHAnsi"/>
          <w:sz w:val="24"/>
          <w:szCs w:val="24"/>
          <w:lang w:val="en-GB"/>
        </w:rPr>
        <w:t>CSE</w:t>
      </w:r>
      <w:r w:rsidRPr="0069272F">
        <w:rPr>
          <w:rFonts w:asciiTheme="minorHAnsi" w:hAnsiTheme="minorHAnsi" w:cstheme="minorHAnsi"/>
          <w:sz w:val="24"/>
          <w:szCs w:val="24"/>
          <w:lang w:val="en-GB"/>
        </w:rPr>
        <w:t xml:space="preserve"> </w:t>
      </w:r>
      <w:r>
        <w:rPr>
          <w:rFonts w:asciiTheme="minorHAnsi" w:hAnsiTheme="minorHAnsi" w:cstheme="minorHAnsi"/>
          <w:sz w:val="24"/>
          <w:szCs w:val="24"/>
          <w:lang w:val="en-GB"/>
        </w:rPr>
        <w:t xml:space="preserve">or </w:t>
      </w:r>
      <w:r w:rsidR="0069272F" w:rsidRPr="0069272F">
        <w:rPr>
          <w:rFonts w:asciiTheme="minorHAnsi" w:hAnsiTheme="minorHAnsi" w:cstheme="minorHAnsi"/>
          <w:sz w:val="24"/>
          <w:szCs w:val="24"/>
          <w:lang w:val="en-GB"/>
        </w:rPr>
        <w:t>University</w:t>
      </w:r>
      <w:r w:rsidRPr="0069272F">
        <w:rPr>
          <w:rFonts w:asciiTheme="minorHAnsi" w:hAnsiTheme="minorHAnsi" w:cstheme="minorHAnsi"/>
          <w:sz w:val="24"/>
          <w:szCs w:val="24"/>
          <w:lang w:val="en-GB"/>
        </w:rPr>
        <w:t xml:space="preserve"> considers </w:t>
      </w:r>
      <w:r>
        <w:rPr>
          <w:rFonts w:asciiTheme="minorHAnsi" w:hAnsiTheme="minorHAnsi" w:cstheme="minorHAnsi"/>
          <w:sz w:val="24"/>
          <w:szCs w:val="24"/>
          <w:lang w:val="en-GB"/>
        </w:rPr>
        <w:t xml:space="preserve">that this person has significant achievements in the field of issues related to the achievements of the person applying for the post-doctoral degree. </w:t>
      </w:r>
    </w:p>
    <w:p w14:paraId="2ECA2CBC" w14:textId="474944D2" w:rsidR="00124A1F" w:rsidRPr="00124D87" w:rsidRDefault="000639A3" w:rsidP="00D50590">
      <w:pPr>
        <w:numPr>
          <w:ilvl w:val="0"/>
          <w:numId w:val="7"/>
        </w:numPr>
        <w:spacing w:after="0" w:line="360" w:lineRule="auto"/>
        <w:ind w:left="426" w:hanging="426"/>
        <w:rPr>
          <w:rFonts w:asciiTheme="minorHAnsi" w:hAnsiTheme="minorHAnsi" w:cstheme="minorHAnsi"/>
          <w:sz w:val="24"/>
          <w:szCs w:val="24"/>
          <w:lang w:val="en-US"/>
        </w:rPr>
      </w:pPr>
      <w:r>
        <w:rPr>
          <w:rFonts w:asciiTheme="minorHAnsi" w:hAnsiTheme="minorHAnsi" w:cstheme="minorHAnsi"/>
          <w:sz w:val="24"/>
          <w:szCs w:val="24"/>
          <w:lang w:val="en-GB"/>
        </w:rPr>
        <w:t xml:space="preserve">A reviewer may not be a person who in the last 5 years has twice failed to meet the deadline referred to in section 9. </w:t>
      </w:r>
    </w:p>
    <w:p w14:paraId="1D22ED4F" w14:textId="77777777" w:rsidR="00124A1F" w:rsidRPr="00124D87" w:rsidRDefault="000639A3" w:rsidP="00D50590">
      <w:pPr>
        <w:numPr>
          <w:ilvl w:val="0"/>
          <w:numId w:val="7"/>
        </w:numPr>
        <w:spacing w:after="0" w:line="360" w:lineRule="auto"/>
        <w:ind w:left="426" w:hanging="426"/>
        <w:rPr>
          <w:rFonts w:asciiTheme="minorHAnsi" w:hAnsiTheme="minorHAnsi" w:cstheme="minorHAnsi"/>
          <w:sz w:val="24"/>
          <w:szCs w:val="24"/>
          <w:lang w:val="en-US"/>
        </w:rPr>
      </w:pPr>
      <w:r>
        <w:rPr>
          <w:rFonts w:asciiTheme="minorHAnsi" w:hAnsiTheme="minorHAnsi" w:cstheme="minorHAnsi"/>
          <w:sz w:val="24"/>
          <w:szCs w:val="24"/>
          <w:lang w:val="en-GB"/>
        </w:rPr>
        <w:t xml:space="preserve">Within 8 weeks from the date of receipt of the application, reviewers assess whether the scientific achievements of the person applying for the post-doctoral degree meet the requirements set out in §3 section 1 point 2, and prepare reviews. </w:t>
      </w:r>
    </w:p>
    <w:p w14:paraId="5FF6AE56" w14:textId="1AAEA2D3" w:rsidR="00124A1F" w:rsidRPr="00124D87" w:rsidRDefault="000639A3" w:rsidP="00D50590">
      <w:pPr>
        <w:numPr>
          <w:ilvl w:val="0"/>
          <w:numId w:val="7"/>
        </w:numPr>
        <w:spacing w:after="0" w:line="360" w:lineRule="auto"/>
        <w:ind w:left="426" w:hanging="426"/>
        <w:rPr>
          <w:rFonts w:asciiTheme="minorHAnsi" w:hAnsiTheme="minorHAnsi" w:cstheme="minorHAnsi"/>
          <w:sz w:val="24"/>
          <w:szCs w:val="24"/>
          <w:lang w:val="en-US"/>
        </w:rPr>
      </w:pPr>
      <w:r>
        <w:rPr>
          <w:rFonts w:asciiTheme="minorHAnsi" w:hAnsiTheme="minorHAnsi" w:cstheme="minorHAnsi"/>
          <w:sz w:val="24"/>
          <w:szCs w:val="24"/>
          <w:lang w:val="en-GB"/>
        </w:rPr>
        <w:t xml:space="preserve">The resolution containing the opinion on conferring the post-doctoral degree is adopted by the </w:t>
      </w:r>
      <w:r w:rsidR="0069272F" w:rsidRPr="0069272F">
        <w:rPr>
          <w:rFonts w:asciiTheme="minorHAnsi" w:hAnsiTheme="minorHAnsi" w:cstheme="minorHAnsi"/>
          <w:sz w:val="24"/>
          <w:szCs w:val="24"/>
          <w:lang w:val="en-GB"/>
        </w:rPr>
        <w:t>Habilitation Committee</w:t>
      </w:r>
      <w:r w:rsidR="0069272F">
        <w:rPr>
          <w:rFonts w:asciiTheme="minorHAnsi" w:hAnsiTheme="minorHAnsi" w:cstheme="minorHAnsi"/>
          <w:sz w:val="24"/>
          <w:szCs w:val="24"/>
          <w:lang w:val="en-GB"/>
        </w:rPr>
        <w:t xml:space="preserve"> </w:t>
      </w:r>
      <w:r>
        <w:rPr>
          <w:rFonts w:asciiTheme="minorHAnsi" w:hAnsiTheme="minorHAnsi" w:cstheme="minorHAnsi"/>
          <w:sz w:val="24"/>
          <w:szCs w:val="24"/>
          <w:lang w:val="en-GB"/>
        </w:rPr>
        <w:t xml:space="preserve">in an open vote. At the request of the post-doctoral candidate, the committee adopts a resolution in a secret ballot. The opinion cannot be positive if at least 2 reviews are negative. </w:t>
      </w:r>
    </w:p>
    <w:p w14:paraId="158B13C1" w14:textId="7E4227DF" w:rsidR="00124A1F" w:rsidRPr="00124D87" w:rsidRDefault="000639A3" w:rsidP="00D50590">
      <w:pPr>
        <w:numPr>
          <w:ilvl w:val="0"/>
          <w:numId w:val="7"/>
        </w:numPr>
        <w:spacing w:after="0" w:line="360" w:lineRule="auto"/>
        <w:ind w:left="426" w:hanging="426"/>
        <w:rPr>
          <w:rFonts w:asciiTheme="minorHAnsi" w:hAnsiTheme="minorHAnsi" w:cstheme="minorHAnsi"/>
          <w:sz w:val="24"/>
          <w:szCs w:val="24"/>
          <w:lang w:val="en-US"/>
        </w:rPr>
      </w:pPr>
      <w:r>
        <w:rPr>
          <w:rFonts w:asciiTheme="minorHAnsi" w:hAnsiTheme="minorHAnsi" w:cstheme="minorHAnsi"/>
          <w:sz w:val="24"/>
          <w:szCs w:val="24"/>
          <w:lang w:val="en-GB"/>
        </w:rPr>
        <w:t xml:space="preserve">Within 6 weeks from the date of receipt of the review, the </w:t>
      </w:r>
      <w:r w:rsidR="0069272F" w:rsidRPr="0069272F">
        <w:rPr>
          <w:rFonts w:asciiTheme="minorHAnsi" w:hAnsiTheme="minorHAnsi" w:cstheme="minorHAnsi"/>
          <w:sz w:val="24"/>
          <w:szCs w:val="24"/>
          <w:lang w:val="en-GB"/>
        </w:rPr>
        <w:t>Habilitation Committee</w:t>
      </w:r>
      <w:r w:rsidR="0069272F" w:rsidRPr="004A2B7B">
        <w:rPr>
          <w:rFonts w:asciiTheme="minorHAnsi" w:hAnsiTheme="minorHAnsi" w:cstheme="minorHAnsi"/>
          <w:color w:val="FF0000"/>
          <w:sz w:val="24"/>
          <w:szCs w:val="24"/>
          <w:lang w:val="en-GB"/>
        </w:rPr>
        <w:t xml:space="preserve"> </w:t>
      </w:r>
      <w:r w:rsidRPr="0069272F">
        <w:rPr>
          <w:rFonts w:asciiTheme="minorHAnsi" w:hAnsiTheme="minorHAnsi" w:cstheme="minorHAnsi"/>
          <w:sz w:val="24"/>
          <w:szCs w:val="24"/>
          <w:lang w:val="en-GB"/>
        </w:rPr>
        <w:t xml:space="preserve">shall submit </w:t>
      </w:r>
      <w:r w:rsidR="0069272F">
        <w:rPr>
          <w:rFonts w:asciiTheme="minorHAnsi" w:hAnsiTheme="minorHAnsi" w:cstheme="minorHAnsi"/>
          <w:sz w:val="24"/>
          <w:szCs w:val="24"/>
          <w:lang w:val="en-GB"/>
        </w:rPr>
        <w:t xml:space="preserve">to the Senate </w:t>
      </w:r>
      <w:r w:rsidRPr="0069272F">
        <w:rPr>
          <w:rFonts w:asciiTheme="minorHAnsi" w:hAnsiTheme="minorHAnsi" w:cstheme="minorHAnsi"/>
          <w:sz w:val="24"/>
          <w:szCs w:val="24"/>
          <w:lang w:val="en-GB"/>
        </w:rPr>
        <w:t xml:space="preserve">the </w:t>
      </w:r>
      <w:r>
        <w:rPr>
          <w:rFonts w:asciiTheme="minorHAnsi" w:hAnsiTheme="minorHAnsi" w:cstheme="minorHAnsi"/>
          <w:sz w:val="24"/>
          <w:szCs w:val="24"/>
          <w:lang w:val="en-GB"/>
        </w:rPr>
        <w:t xml:space="preserve">resolution referred to in sec. 10, along with the justification and documentation of the procedure for conferring the post-doctoral degree. </w:t>
      </w:r>
    </w:p>
    <w:p w14:paraId="138185EB" w14:textId="4FF16014" w:rsidR="000639A3" w:rsidRPr="00124D87" w:rsidRDefault="000639A3" w:rsidP="00D50590">
      <w:pPr>
        <w:numPr>
          <w:ilvl w:val="0"/>
          <w:numId w:val="7"/>
        </w:numPr>
        <w:spacing w:after="0" w:line="360" w:lineRule="auto"/>
        <w:ind w:left="426" w:hanging="426"/>
        <w:rPr>
          <w:rFonts w:asciiTheme="minorHAnsi" w:hAnsiTheme="minorHAnsi" w:cstheme="minorHAnsi"/>
          <w:sz w:val="24"/>
          <w:szCs w:val="24"/>
          <w:lang w:val="en-US"/>
        </w:rPr>
      </w:pPr>
      <w:r>
        <w:rPr>
          <w:rFonts w:asciiTheme="minorHAnsi" w:hAnsiTheme="minorHAnsi" w:cstheme="minorHAnsi"/>
          <w:sz w:val="24"/>
          <w:szCs w:val="24"/>
          <w:lang w:val="en-GB"/>
        </w:rPr>
        <w:lastRenderedPageBreak/>
        <w:t>If the application is withdrawn after the appointment of the</w:t>
      </w:r>
      <w:r w:rsidR="0069272F" w:rsidRPr="0069272F">
        <w:rPr>
          <w:rFonts w:asciiTheme="minorHAnsi" w:hAnsiTheme="minorHAnsi" w:cstheme="minorHAnsi"/>
          <w:sz w:val="24"/>
          <w:szCs w:val="24"/>
          <w:lang w:val="en-GB"/>
        </w:rPr>
        <w:t xml:space="preserve"> Habilitation Committee</w:t>
      </w:r>
      <w:r>
        <w:rPr>
          <w:rFonts w:asciiTheme="minorHAnsi" w:hAnsiTheme="minorHAnsi" w:cstheme="minorHAnsi"/>
          <w:sz w:val="24"/>
          <w:szCs w:val="24"/>
          <w:lang w:val="en-GB"/>
        </w:rPr>
        <w:t xml:space="preserve">: </w:t>
      </w:r>
    </w:p>
    <w:p w14:paraId="6AFB41B0" w14:textId="3CC641EE" w:rsidR="000639A3" w:rsidRPr="00124D87" w:rsidRDefault="000639A3" w:rsidP="00D50590">
      <w:pPr>
        <w:pStyle w:val="Akapitzlist"/>
        <w:numPr>
          <w:ilvl w:val="1"/>
          <w:numId w:val="17"/>
        </w:numPr>
        <w:spacing w:after="0" w:line="360" w:lineRule="auto"/>
        <w:ind w:left="709"/>
        <w:rPr>
          <w:rFonts w:asciiTheme="minorHAnsi" w:hAnsiTheme="minorHAnsi" w:cstheme="minorHAnsi"/>
          <w:sz w:val="24"/>
          <w:szCs w:val="24"/>
          <w:lang w:val="en-US"/>
        </w:rPr>
      </w:pPr>
      <w:r>
        <w:rPr>
          <w:rFonts w:asciiTheme="minorHAnsi" w:hAnsiTheme="minorHAnsi" w:cstheme="minorHAnsi"/>
          <w:sz w:val="24"/>
          <w:szCs w:val="24"/>
          <w:lang w:val="en-GB"/>
        </w:rPr>
        <w:t xml:space="preserve">the same application cannot be the basis for applying for the post-doctoral degree at another post-degree institution; </w:t>
      </w:r>
    </w:p>
    <w:p w14:paraId="4413FB6B" w14:textId="5B68ECE4" w:rsidR="000639A3" w:rsidRPr="00124D87" w:rsidRDefault="000639A3" w:rsidP="00D50590">
      <w:pPr>
        <w:pStyle w:val="Akapitzlist"/>
        <w:numPr>
          <w:ilvl w:val="1"/>
          <w:numId w:val="17"/>
        </w:numPr>
        <w:spacing w:after="0" w:line="360" w:lineRule="auto"/>
        <w:ind w:left="709"/>
        <w:rPr>
          <w:rFonts w:asciiTheme="minorHAnsi" w:hAnsiTheme="minorHAnsi" w:cstheme="minorHAnsi"/>
          <w:sz w:val="24"/>
          <w:szCs w:val="24"/>
          <w:lang w:val="en-US"/>
        </w:rPr>
      </w:pPr>
      <w:r>
        <w:rPr>
          <w:rFonts w:asciiTheme="minorHAnsi" w:hAnsiTheme="minorHAnsi" w:cstheme="minorHAnsi"/>
          <w:sz w:val="24"/>
          <w:szCs w:val="24"/>
          <w:lang w:val="en-GB"/>
        </w:rPr>
        <w:t xml:space="preserve">the applicant may not apply for the post-doctoral degree for a period of 2 years. </w:t>
      </w:r>
    </w:p>
    <w:p w14:paraId="52B8532A" w14:textId="030E9216" w:rsidR="00FC7C45" w:rsidRPr="00124D87" w:rsidRDefault="00FC7C45" w:rsidP="00D50590">
      <w:pPr>
        <w:numPr>
          <w:ilvl w:val="0"/>
          <w:numId w:val="7"/>
        </w:numPr>
        <w:spacing w:after="0" w:line="360" w:lineRule="auto"/>
        <w:ind w:left="426" w:hanging="426"/>
        <w:rPr>
          <w:rFonts w:asciiTheme="minorHAnsi" w:hAnsiTheme="minorHAnsi" w:cstheme="minorHAnsi"/>
          <w:sz w:val="24"/>
          <w:szCs w:val="24"/>
          <w:lang w:val="en-US"/>
        </w:rPr>
      </w:pPr>
      <w:r>
        <w:rPr>
          <w:rFonts w:asciiTheme="minorHAnsi" w:eastAsia="Times New Roman" w:hAnsiTheme="minorHAnsi" w:cstheme="minorHAnsi"/>
          <w:sz w:val="24"/>
          <w:szCs w:val="24"/>
          <w:lang w:val="en-GB"/>
        </w:rPr>
        <w:t xml:space="preserve">The </w:t>
      </w:r>
      <w:r w:rsidR="0069272F" w:rsidRPr="0069272F">
        <w:rPr>
          <w:rFonts w:asciiTheme="minorHAnsi" w:hAnsiTheme="minorHAnsi" w:cstheme="minorHAnsi"/>
          <w:sz w:val="24"/>
          <w:szCs w:val="24"/>
          <w:lang w:val="en-GB"/>
        </w:rPr>
        <w:t>Habilitation Committee</w:t>
      </w:r>
      <w:r w:rsidR="0069272F">
        <w:rPr>
          <w:rFonts w:asciiTheme="minorHAnsi" w:eastAsia="Times New Roman" w:hAnsiTheme="minorHAnsi" w:cstheme="minorHAnsi"/>
          <w:sz w:val="24"/>
          <w:szCs w:val="24"/>
          <w:lang w:val="en-GB"/>
        </w:rPr>
        <w:t xml:space="preserve"> </w:t>
      </w:r>
      <w:r>
        <w:rPr>
          <w:rFonts w:asciiTheme="minorHAnsi" w:eastAsia="Times New Roman" w:hAnsiTheme="minorHAnsi" w:cstheme="minorHAnsi"/>
          <w:sz w:val="24"/>
          <w:szCs w:val="24"/>
          <w:lang w:val="en-GB"/>
        </w:rPr>
        <w:t>may</w:t>
      </w:r>
      <w:r w:rsidRPr="004A2B7B">
        <w:rPr>
          <w:rFonts w:asciiTheme="minorHAnsi" w:eastAsia="Times New Roman" w:hAnsiTheme="minorHAnsi" w:cstheme="minorHAnsi"/>
          <w:color w:val="FF0000"/>
          <w:sz w:val="24"/>
          <w:szCs w:val="24"/>
          <w:lang w:val="en-GB"/>
        </w:rPr>
        <w:t xml:space="preserve"> </w:t>
      </w:r>
      <w:r w:rsidRPr="0069272F">
        <w:rPr>
          <w:rFonts w:asciiTheme="minorHAnsi" w:eastAsia="Times New Roman" w:hAnsiTheme="minorHAnsi" w:cstheme="minorHAnsi"/>
          <w:sz w:val="24"/>
          <w:szCs w:val="24"/>
          <w:lang w:val="en-GB"/>
        </w:rPr>
        <w:t xml:space="preserve">meet with </w:t>
      </w:r>
      <w:r>
        <w:rPr>
          <w:rFonts w:asciiTheme="minorHAnsi" w:eastAsia="Times New Roman" w:hAnsiTheme="minorHAnsi" w:cstheme="minorHAnsi"/>
          <w:sz w:val="24"/>
          <w:szCs w:val="24"/>
          <w:lang w:val="en-GB"/>
        </w:rPr>
        <w:t>the use of technical devices enabling it to be conducted remotely with simultaneous direct transmission of image and sound.</w:t>
      </w:r>
    </w:p>
    <w:p w14:paraId="329031B8" w14:textId="0F8A6D7B" w:rsidR="008B03C6" w:rsidRPr="00124D87" w:rsidRDefault="008B03C6" w:rsidP="00D50590">
      <w:pPr>
        <w:numPr>
          <w:ilvl w:val="0"/>
          <w:numId w:val="7"/>
        </w:numPr>
        <w:spacing w:after="0" w:line="360" w:lineRule="auto"/>
        <w:ind w:left="426" w:hanging="426"/>
        <w:rPr>
          <w:rFonts w:asciiTheme="minorHAnsi" w:hAnsiTheme="minorHAnsi" w:cstheme="minorHAnsi"/>
          <w:sz w:val="24"/>
          <w:szCs w:val="24"/>
          <w:lang w:val="en-US"/>
        </w:rPr>
      </w:pPr>
      <w:r>
        <w:rPr>
          <w:rFonts w:asciiTheme="minorHAnsi" w:hAnsiTheme="minorHAnsi" w:cstheme="minorHAnsi"/>
          <w:sz w:val="24"/>
          <w:szCs w:val="24"/>
          <w:lang w:val="en-GB"/>
        </w:rPr>
        <w:t xml:space="preserve">Resolutions adopted by the </w:t>
      </w:r>
      <w:r w:rsidR="0069272F" w:rsidRPr="0069272F">
        <w:rPr>
          <w:rFonts w:asciiTheme="minorHAnsi" w:hAnsiTheme="minorHAnsi" w:cstheme="minorHAnsi"/>
          <w:sz w:val="24"/>
          <w:szCs w:val="24"/>
          <w:lang w:val="en-GB"/>
        </w:rPr>
        <w:t>Habilitation Committee</w:t>
      </w:r>
      <w:r w:rsidR="0069272F">
        <w:rPr>
          <w:rFonts w:asciiTheme="minorHAnsi" w:hAnsiTheme="minorHAnsi" w:cstheme="minorHAnsi"/>
          <w:sz w:val="24"/>
          <w:szCs w:val="24"/>
          <w:lang w:val="en-GB"/>
        </w:rPr>
        <w:t xml:space="preserve"> </w:t>
      </w:r>
      <w:r>
        <w:rPr>
          <w:rFonts w:asciiTheme="minorHAnsi" w:hAnsiTheme="minorHAnsi" w:cstheme="minorHAnsi"/>
          <w:sz w:val="24"/>
          <w:szCs w:val="24"/>
          <w:lang w:val="en-GB"/>
        </w:rPr>
        <w:t xml:space="preserve">using means of electronic communication </w:t>
      </w:r>
      <w:r w:rsidRPr="0069272F">
        <w:rPr>
          <w:rFonts w:asciiTheme="minorHAnsi" w:hAnsiTheme="minorHAnsi" w:cstheme="minorHAnsi"/>
          <w:sz w:val="24"/>
          <w:szCs w:val="24"/>
          <w:lang w:val="en-GB"/>
        </w:rPr>
        <w:t xml:space="preserve">and minutes of the proceedings </w:t>
      </w:r>
      <w:r>
        <w:rPr>
          <w:rFonts w:asciiTheme="minorHAnsi" w:hAnsiTheme="minorHAnsi" w:cstheme="minorHAnsi"/>
          <w:sz w:val="24"/>
          <w:szCs w:val="24"/>
          <w:lang w:val="en-GB"/>
        </w:rPr>
        <w:t xml:space="preserve">held in the manner indicated in sec. 13 is signed by the Chairman of the </w:t>
      </w:r>
      <w:r w:rsidR="0069272F" w:rsidRPr="0069272F">
        <w:rPr>
          <w:rFonts w:asciiTheme="minorHAnsi" w:hAnsiTheme="minorHAnsi" w:cstheme="minorHAnsi"/>
          <w:sz w:val="24"/>
          <w:szCs w:val="24"/>
          <w:lang w:val="en-GB"/>
        </w:rPr>
        <w:t>Habilitation Committee</w:t>
      </w:r>
      <w:r w:rsidR="0069272F">
        <w:rPr>
          <w:rFonts w:asciiTheme="minorHAnsi" w:hAnsiTheme="minorHAnsi" w:cstheme="minorHAnsi"/>
          <w:sz w:val="24"/>
          <w:szCs w:val="24"/>
          <w:lang w:val="en-GB"/>
        </w:rPr>
        <w:t>.</w:t>
      </w:r>
    </w:p>
    <w:p w14:paraId="5C68D094" w14:textId="77777777" w:rsidR="007F29F9" w:rsidRPr="007F29F9" w:rsidRDefault="007F29F9" w:rsidP="007F29F9">
      <w:pPr>
        <w:pStyle w:val="Nagwek1"/>
      </w:pPr>
      <w:r>
        <w:rPr>
          <w:bCs/>
          <w:lang w:val="en-GB"/>
        </w:rPr>
        <w:t xml:space="preserve">Conferring the degree </w:t>
      </w:r>
    </w:p>
    <w:p w14:paraId="34F25EA8" w14:textId="77777777" w:rsidR="009B66B6" w:rsidRPr="00EC6AEA" w:rsidRDefault="0046718C" w:rsidP="007F29F9">
      <w:pPr>
        <w:pStyle w:val="Nagwek2"/>
      </w:pPr>
      <w:r>
        <w:rPr>
          <w:bCs/>
          <w:lang w:val="en-GB"/>
        </w:rPr>
        <w:t>§ 6</w:t>
      </w:r>
    </w:p>
    <w:p w14:paraId="3D8C1B9A" w14:textId="6626D873" w:rsidR="00C26BAA" w:rsidRPr="00124D87" w:rsidRDefault="00C26BAA" w:rsidP="00D50590">
      <w:pPr>
        <w:numPr>
          <w:ilvl w:val="0"/>
          <w:numId w:val="2"/>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 xml:space="preserve">On the basis of the resolution referred to in §5 sec. 10, within one month from the date of its receipt, the Senate shall confer the post-doctoral </w:t>
      </w:r>
      <w:r w:rsidR="004A2B7B">
        <w:rPr>
          <w:rFonts w:asciiTheme="minorHAnsi" w:hAnsiTheme="minorHAnsi" w:cstheme="minorHAnsi"/>
          <w:sz w:val="24"/>
          <w:szCs w:val="24"/>
          <w:lang w:val="en-GB"/>
        </w:rPr>
        <w:t xml:space="preserve">degree </w:t>
      </w:r>
      <w:r>
        <w:rPr>
          <w:rFonts w:asciiTheme="minorHAnsi" w:hAnsiTheme="minorHAnsi" w:cstheme="minorHAnsi"/>
          <w:sz w:val="24"/>
          <w:szCs w:val="24"/>
          <w:lang w:val="en-GB"/>
        </w:rPr>
        <w:t xml:space="preserve">or refuse to confer it. The Senate refuses to confer the degree if the opinion referred to in §5 sec. 10 is negative. </w:t>
      </w:r>
    </w:p>
    <w:p w14:paraId="430BBC7C" w14:textId="4F70209E" w:rsidR="000639A3" w:rsidRPr="00124D87" w:rsidRDefault="000639A3" w:rsidP="00D50590">
      <w:pPr>
        <w:numPr>
          <w:ilvl w:val="0"/>
          <w:numId w:val="2"/>
        </w:numPr>
        <w:spacing w:after="0" w:line="360" w:lineRule="auto"/>
        <w:ind w:left="284" w:hanging="284"/>
        <w:contextualSpacing/>
        <w:mirrorIndents/>
        <w:rPr>
          <w:rFonts w:asciiTheme="minorHAnsi" w:hAnsiTheme="minorHAnsi" w:cstheme="minorHAnsi"/>
          <w:sz w:val="24"/>
          <w:szCs w:val="24"/>
          <w:lang w:val="en-US"/>
        </w:rPr>
      </w:pPr>
      <w:r>
        <w:rPr>
          <w:rFonts w:asciiTheme="minorHAnsi" w:hAnsiTheme="minorHAnsi" w:cstheme="minorHAnsi"/>
          <w:sz w:val="24"/>
          <w:szCs w:val="24"/>
          <w:lang w:val="en-GB"/>
        </w:rPr>
        <w:t xml:space="preserve">The </w:t>
      </w:r>
      <w:r w:rsidR="004A2B7B" w:rsidRPr="004A2B7B">
        <w:rPr>
          <w:rFonts w:asciiTheme="minorHAnsi" w:hAnsiTheme="minorHAnsi" w:cstheme="minorHAnsi"/>
          <w:sz w:val="24"/>
          <w:szCs w:val="24"/>
          <w:lang w:val="en-GB"/>
        </w:rPr>
        <w:t>decision of the Senate</w:t>
      </w:r>
      <w:r w:rsidRPr="004A2B7B">
        <w:rPr>
          <w:rFonts w:asciiTheme="minorHAnsi" w:hAnsiTheme="minorHAnsi" w:cstheme="minorHAnsi"/>
          <w:sz w:val="24"/>
          <w:szCs w:val="24"/>
          <w:lang w:val="en-GB"/>
        </w:rPr>
        <w:t xml:space="preserve"> </w:t>
      </w:r>
      <w:r>
        <w:rPr>
          <w:rFonts w:asciiTheme="minorHAnsi" w:hAnsiTheme="minorHAnsi" w:cstheme="minorHAnsi"/>
          <w:sz w:val="24"/>
          <w:szCs w:val="24"/>
          <w:lang w:val="en-GB"/>
        </w:rPr>
        <w:t xml:space="preserve">to refuse to confer a post-doctoral degree may be appealed against to the Council of Scientific Excellence </w:t>
      </w:r>
      <w:r w:rsidRPr="0069272F">
        <w:rPr>
          <w:rFonts w:asciiTheme="minorHAnsi" w:hAnsiTheme="minorHAnsi" w:cstheme="minorHAnsi"/>
          <w:sz w:val="24"/>
          <w:szCs w:val="24"/>
          <w:lang w:val="en-GB"/>
        </w:rPr>
        <w:t>(</w:t>
      </w:r>
      <w:r w:rsidR="0069272F" w:rsidRPr="0069272F">
        <w:rPr>
          <w:rFonts w:asciiTheme="minorHAnsi" w:hAnsiTheme="minorHAnsi" w:cstheme="minorHAnsi"/>
          <w:sz w:val="24"/>
          <w:szCs w:val="24"/>
          <w:lang w:val="en-GB"/>
        </w:rPr>
        <w:t>CSE</w:t>
      </w:r>
      <w:r w:rsidRPr="0069272F">
        <w:rPr>
          <w:rFonts w:asciiTheme="minorHAnsi" w:hAnsiTheme="minorHAnsi" w:cstheme="minorHAnsi"/>
          <w:sz w:val="24"/>
          <w:szCs w:val="24"/>
          <w:lang w:val="en-GB"/>
        </w:rPr>
        <w:t>).</w:t>
      </w:r>
    </w:p>
    <w:p w14:paraId="57F4DEBF" w14:textId="77777777" w:rsidR="007F29F9" w:rsidRPr="007F29F9" w:rsidRDefault="007F29F9" w:rsidP="007F29F9">
      <w:pPr>
        <w:pStyle w:val="Nagwek1"/>
      </w:pPr>
      <w:r>
        <w:rPr>
          <w:bCs/>
          <w:lang w:val="en-GB"/>
        </w:rPr>
        <w:t>Fees</w:t>
      </w:r>
    </w:p>
    <w:p w14:paraId="32498421" w14:textId="77777777" w:rsidR="0046718C" w:rsidRPr="00EC6AEA" w:rsidRDefault="0046718C" w:rsidP="007F29F9">
      <w:pPr>
        <w:pStyle w:val="Nagwek2"/>
      </w:pPr>
      <w:r>
        <w:rPr>
          <w:bCs/>
          <w:lang w:val="en-GB"/>
        </w:rPr>
        <w:t>§ 7</w:t>
      </w:r>
    </w:p>
    <w:p w14:paraId="50FAF052" w14:textId="72D600A1" w:rsidR="0046718C" w:rsidRPr="00124D87" w:rsidRDefault="005D3845" w:rsidP="00D50590">
      <w:pPr>
        <w:widowControl w:val="0"/>
        <w:numPr>
          <w:ilvl w:val="0"/>
          <w:numId w:val="6"/>
        </w:numPr>
        <w:autoSpaceDE w:val="0"/>
        <w:autoSpaceDN w:val="0"/>
        <w:adjustRightInd w:val="0"/>
        <w:spacing w:after="0" w:line="36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The procedure for conferring a post-doctoral degree is chargeable, subject to sec. 2.</w:t>
      </w:r>
    </w:p>
    <w:p w14:paraId="45E24B76" w14:textId="77777777" w:rsidR="0046718C" w:rsidRPr="00124D87" w:rsidRDefault="0046718C" w:rsidP="00D50590">
      <w:pPr>
        <w:widowControl w:val="0"/>
        <w:numPr>
          <w:ilvl w:val="0"/>
          <w:numId w:val="6"/>
        </w:numPr>
        <w:autoSpaceDE w:val="0"/>
        <w:autoSpaceDN w:val="0"/>
        <w:adjustRightInd w:val="0"/>
        <w:spacing w:after="0" w:line="36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In the case of academic teachers employed at the Medical University of Bialystok the fee is borne by the University.</w:t>
      </w:r>
    </w:p>
    <w:p w14:paraId="1575C742" w14:textId="16E31E98" w:rsidR="0046718C" w:rsidRPr="00124D87" w:rsidRDefault="0046718C" w:rsidP="00D50590">
      <w:pPr>
        <w:widowControl w:val="0"/>
        <w:numPr>
          <w:ilvl w:val="0"/>
          <w:numId w:val="6"/>
        </w:numPr>
        <w:autoSpaceDE w:val="0"/>
        <w:autoSpaceDN w:val="0"/>
        <w:adjustRightInd w:val="0"/>
        <w:spacing w:after="0" w:line="36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The amount of the fee for the procedure is determined by the Rector's order.</w:t>
      </w:r>
    </w:p>
    <w:p w14:paraId="6269FD33" w14:textId="6CD9E0A1" w:rsidR="0046718C" w:rsidRPr="00124D87" w:rsidRDefault="0046718C" w:rsidP="00D50590">
      <w:pPr>
        <w:widowControl w:val="0"/>
        <w:numPr>
          <w:ilvl w:val="0"/>
          <w:numId w:val="6"/>
        </w:numPr>
        <w:autoSpaceDE w:val="0"/>
        <w:autoSpaceDN w:val="0"/>
        <w:adjustRightInd w:val="0"/>
        <w:spacing w:after="0" w:line="36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At the candidate's justified request, the Rector, after consulting the Dean, may exempt the candidate from the fee in whole or in part. The candidate is obliged to attach to the application a statement on family status, income </w:t>
      </w:r>
      <w:r w:rsidRPr="0069272F">
        <w:rPr>
          <w:rFonts w:asciiTheme="minorHAnsi" w:eastAsia="Times New Roman" w:hAnsiTheme="minorHAnsi" w:cstheme="minorHAnsi"/>
          <w:sz w:val="24"/>
          <w:szCs w:val="24"/>
          <w:lang w:val="en-GB"/>
        </w:rPr>
        <w:t>and live</w:t>
      </w:r>
      <w:r w:rsidR="0069272F" w:rsidRPr="0069272F">
        <w:rPr>
          <w:rFonts w:asciiTheme="minorHAnsi" w:eastAsia="Times New Roman" w:hAnsiTheme="minorHAnsi" w:cstheme="minorHAnsi"/>
          <w:sz w:val="24"/>
          <w:szCs w:val="24"/>
          <w:lang w:val="en-GB"/>
        </w:rPr>
        <w:t>li</w:t>
      </w:r>
      <w:r w:rsidRPr="0069272F">
        <w:rPr>
          <w:rFonts w:asciiTheme="minorHAnsi" w:eastAsia="Times New Roman" w:hAnsiTheme="minorHAnsi" w:cstheme="minorHAnsi"/>
          <w:sz w:val="24"/>
          <w:szCs w:val="24"/>
          <w:lang w:val="en-GB"/>
        </w:rPr>
        <w:t xml:space="preserve">hood, the </w:t>
      </w:r>
      <w:r>
        <w:rPr>
          <w:rFonts w:asciiTheme="minorHAnsi" w:eastAsia="Times New Roman" w:hAnsiTheme="minorHAnsi" w:cstheme="minorHAnsi"/>
          <w:sz w:val="24"/>
          <w:szCs w:val="24"/>
          <w:lang w:val="en-GB"/>
        </w:rPr>
        <w:t>template of which is attached as Appendix 2b.</w:t>
      </w:r>
    </w:p>
    <w:p w14:paraId="73AA2718" w14:textId="739E1AFD" w:rsidR="00242C20" w:rsidRPr="00124D87" w:rsidRDefault="0046718C" w:rsidP="00D50590">
      <w:pPr>
        <w:widowControl w:val="0"/>
        <w:numPr>
          <w:ilvl w:val="0"/>
          <w:numId w:val="6"/>
        </w:numPr>
        <w:autoSpaceDE w:val="0"/>
        <w:autoSpaceDN w:val="0"/>
        <w:adjustRightInd w:val="0"/>
        <w:spacing w:after="0" w:line="36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Fees should be paid to the University's bank account </w:t>
      </w:r>
      <w:r w:rsidRPr="0069272F">
        <w:rPr>
          <w:rFonts w:asciiTheme="minorHAnsi" w:eastAsia="Times New Roman" w:hAnsiTheme="minorHAnsi" w:cstheme="minorHAnsi"/>
          <w:sz w:val="24"/>
          <w:szCs w:val="24"/>
          <w:lang w:val="en-GB"/>
        </w:rPr>
        <w:t xml:space="preserve">or </w:t>
      </w:r>
      <w:r w:rsidR="0069272F" w:rsidRPr="0069272F">
        <w:rPr>
          <w:rFonts w:asciiTheme="minorHAnsi" w:eastAsia="Times New Roman" w:hAnsiTheme="minorHAnsi" w:cstheme="minorHAnsi"/>
          <w:sz w:val="24"/>
          <w:szCs w:val="24"/>
          <w:lang w:val="en-GB"/>
        </w:rPr>
        <w:t>at the University's payment</w:t>
      </w:r>
      <w:r w:rsidRPr="0069272F">
        <w:rPr>
          <w:rFonts w:asciiTheme="minorHAnsi" w:eastAsia="Times New Roman" w:hAnsiTheme="minorHAnsi" w:cstheme="minorHAnsi"/>
          <w:sz w:val="24"/>
          <w:szCs w:val="24"/>
          <w:lang w:val="en-GB"/>
        </w:rPr>
        <w:t xml:space="preserve"> desk </w:t>
      </w:r>
      <w:r>
        <w:rPr>
          <w:rFonts w:asciiTheme="minorHAnsi" w:eastAsia="Times New Roman" w:hAnsiTheme="minorHAnsi" w:cstheme="minorHAnsi"/>
          <w:sz w:val="24"/>
          <w:szCs w:val="24"/>
          <w:lang w:val="en-GB"/>
        </w:rPr>
        <w:t>in two instalments</w:t>
      </w:r>
    </w:p>
    <w:p w14:paraId="17237FA5" w14:textId="09F7CB46" w:rsidR="0046718C" w:rsidRPr="00124D87" w:rsidRDefault="00242C20" w:rsidP="00D50590">
      <w:pPr>
        <w:pStyle w:val="Akapitzlist"/>
        <w:widowControl w:val="0"/>
        <w:numPr>
          <w:ilvl w:val="0"/>
          <w:numId w:val="12"/>
        </w:numPr>
        <w:autoSpaceDE w:val="0"/>
        <w:autoSpaceDN w:val="0"/>
        <w:adjustRightInd w:val="0"/>
        <w:spacing w:after="0" w:line="360" w:lineRule="auto"/>
        <w:ind w:left="851"/>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fee in the part corresponding to the administrative costs after the application is submitted to the University,</w:t>
      </w:r>
    </w:p>
    <w:p w14:paraId="1F509D29" w14:textId="4E751D32" w:rsidR="00242C20" w:rsidRPr="004A2B7B" w:rsidRDefault="00242C20" w:rsidP="00D50590">
      <w:pPr>
        <w:pStyle w:val="Akapitzlist"/>
        <w:widowControl w:val="0"/>
        <w:numPr>
          <w:ilvl w:val="0"/>
          <w:numId w:val="12"/>
        </w:numPr>
        <w:autoSpaceDE w:val="0"/>
        <w:autoSpaceDN w:val="0"/>
        <w:adjustRightInd w:val="0"/>
        <w:spacing w:after="0" w:line="360" w:lineRule="auto"/>
        <w:ind w:left="851"/>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fee in other part - after the appointment of the</w:t>
      </w:r>
      <w:r w:rsidR="0069272F" w:rsidRPr="0069272F">
        <w:rPr>
          <w:rFonts w:asciiTheme="minorHAnsi" w:hAnsiTheme="minorHAnsi" w:cstheme="minorHAnsi"/>
          <w:sz w:val="24"/>
          <w:szCs w:val="24"/>
          <w:lang w:val="en-GB"/>
        </w:rPr>
        <w:t xml:space="preserve"> Habilitation Committee</w:t>
      </w:r>
      <w:r>
        <w:rPr>
          <w:rFonts w:asciiTheme="minorHAnsi" w:eastAsia="Times New Roman" w:hAnsiTheme="minorHAnsi" w:cstheme="minorHAnsi"/>
          <w:sz w:val="24"/>
          <w:szCs w:val="24"/>
          <w:lang w:val="en-GB"/>
        </w:rPr>
        <w:t>.</w:t>
      </w:r>
    </w:p>
    <w:p w14:paraId="2A8B7AF0" w14:textId="15439B5C" w:rsidR="004A2B7B" w:rsidRDefault="004A2B7B" w:rsidP="004A2B7B">
      <w:pPr>
        <w:widowControl w:val="0"/>
        <w:autoSpaceDE w:val="0"/>
        <w:autoSpaceDN w:val="0"/>
        <w:adjustRightInd w:val="0"/>
        <w:spacing w:after="0" w:line="360" w:lineRule="auto"/>
        <w:rPr>
          <w:rFonts w:asciiTheme="minorHAnsi" w:eastAsia="Times New Roman" w:hAnsiTheme="minorHAnsi" w:cstheme="minorHAnsi"/>
          <w:sz w:val="24"/>
          <w:szCs w:val="24"/>
          <w:lang w:val="en-US"/>
        </w:rPr>
      </w:pPr>
    </w:p>
    <w:p w14:paraId="5DABC66D" w14:textId="77777777" w:rsidR="004A2B7B" w:rsidRPr="004A2B7B" w:rsidRDefault="004A2B7B" w:rsidP="004A2B7B">
      <w:pPr>
        <w:widowControl w:val="0"/>
        <w:autoSpaceDE w:val="0"/>
        <w:autoSpaceDN w:val="0"/>
        <w:adjustRightInd w:val="0"/>
        <w:spacing w:after="0" w:line="360" w:lineRule="auto"/>
        <w:rPr>
          <w:rFonts w:asciiTheme="minorHAnsi" w:eastAsia="Times New Roman" w:hAnsiTheme="minorHAnsi" w:cstheme="minorHAnsi"/>
          <w:sz w:val="24"/>
          <w:szCs w:val="24"/>
          <w:lang w:val="en-US"/>
        </w:rPr>
      </w:pPr>
    </w:p>
    <w:p w14:paraId="08621AEF" w14:textId="77777777" w:rsidR="007F29F9" w:rsidRPr="007F29F9" w:rsidRDefault="007F29F9" w:rsidP="007F29F9">
      <w:pPr>
        <w:pStyle w:val="Nagwek1"/>
      </w:pPr>
      <w:r>
        <w:rPr>
          <w:bCs/>
          <w:lang w:val="en-GB"/>
        </w:rPr>
        <w:lastRenderedPageBreak/>
        <w:t>Equivalent rights</w:t>
      </w:r>
    </w:p>
    <w:p w14:paraId="2A312041" w14:textId="77777777" w:rsidR="00637AF4" w:rsidRPr="00EC6AEA" w:rsidRDefault="00637AF4" w:rsidP="007F29F9">
      <w:pPr>
        <w:pStyle w:val="Nagwek2"/>
      </w:pPr>
      <w:r>
        <w:rPr>
          <w:bCs/>
          <w:lang w:val="en-GB"/>
        </w:rPr>
        <w:t>§ 8</w:t>
      </w:r>
    </w:p>
    <w:p w14:paraId="112317FF" w14:textId="060E6800" w:rsidR="00C26BAA" w:rsidRPr="00124D87" w:rsidRDefault="000639A3" w:rsidP="00D50590">
      <w:pPr>
        <w:numPr>
          <w:ilvl w:val="0"/>
          <w:numId w:val="3"/>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 xml:space="preserve">A person who obtained a doctoral degree in the Republic of Poland or abroad may acquire rights equivalent to those resulting from holding post-doctoral in a given discipline, if, while working in another country for at least 5 </w:t>
      </w:r>
      <w:r w:rsidRPr="0069272F">
        <w:rPr>
          <w:rFonts w:asciiTheme="minorHAnsi" w:hAnsiTheme="minorHAnsi" w:cstheme="minorHAnsi"/>
          <w:sz w:val="24"/>
          <w:szCs w:val="24"/>
          <w:lang w:val="en-GB"/>
        </w:rPr>
        <w:t>years, he</w:t>
      </w:r>
      <w:r w:rsidR="0069272F" w:rsidRPr="0069272F">
        <w:rPr>
          <w:rFonts w:asciiTheme="minorHAnsi" w:hAnsiTheme="minorHAnsi" w:cstheme="minorHAnsi"/>
          <w:sz w:val="24"/>
          <w:szCs w:val="24"/>
          <w:lang w:val="en-GB"/>
        </w:rPr>
        <w:t>/she</w:t>
      </w:r>
      <w:r w:rsidRPr="0069272F">
        <w:rPr>
          <w:rFonts w:asciiTheme="minorHAnsi" w:hAnsiTheme="minorHAnsi" w:cstheme="minorHAnsi"/>
          <w:sz w:val="24"/>
          <w:szCs w:val="24"/>
          <w:lang w:val="en-GB"/>
        </w:rPr>
        <w:t xml:space="preserve"> independently </w:t>
      </w:r>
      <w:r>
        <w:rPr>
          <w:rFonts w:asciiTheme="minorHAnsi" w:hAnsiTheme="minorHAnsi" w:cstheme="minorHAnsi"/>
          <w:sz w:val="24"/>
          <w:szCs w:val="24"/>
          <w:lang w:val="en-GB"/>
        </w:rPr>
        <w:t>managed research teams, has significant scientific achievements and is employed at the University in this discipline as a university professor.</w:t>
      </w:r>
    </w:p>
    <w:p w14:paraId="0A5C5CB8" w14:textId="770A3A5D" w:rsidR="000639A3" w:rsidRPr="00124D87" w:rsidRDefault="000639A3" w:rsidP="00D50590">
      <w:pPr>
        <w:numPr>
          <w:ilvl w:val="0"/>
          <w:numId w:val="3"/>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The decision on the acquisit</w:t>
      </w:r>
      <w:r w:rsidR="00A9539E">
        <w:rPr>
          <w:rFonts w:asciiTheme="minorHAnsi" w:hAnsiTheme="minorHAnsi" w:cstheme="minorHAnsi"/>
          <w:sz w:val="24"/>
          <w:szCs w:val="24"/>
          <w:lang w:val="en-GB"/>
        </w:rPr>
        <w:t>ion of rights is issued by the R</w:t>
      </w:r>
      <w:r>
        <w:rPr>
          <w:rFonts w:asciiTheme="minorHAnsi" w:hAnsiTheme="minorHAnsi" w:cstheme="minorHAnsi"/>
          <w:sz w:val="24"/>
          <w:szCs w:val="24"/>
          <w:lang w:val="en-GB"/>
        </w:rPr>
        <w:t>ector.</w:t>
      </w:r>
    </w:p>
    <w:p w14:paraId="145DB279" w14:textId="290C80E6" w:rsidR="000639A3" w:rsidRPr="00124D87" w:rsidRDefault="0023778A" w:rsidP="00D50590">
      <w:pPr>
        <w:numPr>
          <w:ilvl w:val="0"/>
          <w:numId w:val="3"/>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 xml:space="preserve">The Rector submits the decision to the Council of Scientific Excellence together with a description of the professional career and a list of the person's achievements. </w:t>
      </w:r>
    </w:p>
    <w:p w14:paraId="69948533" w14:textId="635E3BD6" w:rsidR="000639A3" w:rsidRPr="00124D87" w:rsidRDefault="000639A3" w:rsidP="00D50590">
      <w:pPr>
        <w:numPr>
          <w:ilvl w:val="0"/>
          <w:numId w:val="3"/>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 xml:space="preserve">The acquisition of rights takes place after 4 months from the date of receipt by </w:t>
      </w:r>
      <w:r w:rsidRPr="0069272F">
        <w:rPr>
          <w:rFonts w:asciiTheme="minorHAnsi" w:hAnsiTheme="minorHAnsi" w:cstheme="minorHAnsi"/>
          <w:sz w:val="24"/>
          <w:szCs w:val="24"/>
          <w:lang w:val="en-GB"/>
        </w:rPr>
        <w:t xml:space="preserve">the </w:t>
      </w:r>
      <w:r w:rsidR="0069272F" w:rsidRPr="0069272F">
        <w:rPr>
          <w:rFonts w:asciiTheme="minorHAnsi" w:hAnsiTheme="minorHAnsi" w:cstheme="minorHAnsi"/>
          <w:sz w:val="24"/>
          <w:szCs w:val="24"/>
          <w:lang w:val="en-GB"/>
        </w:rPr>
        <w:t>CSE</w:t>
      </w:r>
      <w:r w:rsidRPr="0069272F">
        <w:rPr>
          <w:rFonts w:asciiTheme="minorHAnsi" w:hAnsiTheme="minorHAnsi" w:cstheme="minorHAnsi"/>
          <w:sz w:val="24"/>
          <w:szCs w:val="24"/>
          <w:lang w:val="en-GB"/>
        </w:rPr>
        <w:t xml:space="preserve"> </w:t>
      </w:r>
      <w:r>
        <w:rPr>
          <w:rFonts w:asciiTheme="minorHAnsi" w:hAnsiTheme="minorHAnsi" w:cstheme="minorHAnsi"/>
          <w:sz w:val="24"/>
          <w:szCs w:val="24"/>
          <w:lang w:val="en-GB"/>
        </w:rPr>
        <w:t xml:space="preserve">of the decision referred to in sec. 2, if within this period, the Council of Scientific Excellence, by way of an administrative decision, does not object and does not repeal this decision. </w:t>
      </w:r>
    </w:p>
    <w:p w14:paraId="63A057D0" w14:textId="77777777" w:rsidR="007F29F9" w:rsidRPr="00EC6AEA" w:rsidRDefault="007F29F9" w:rsidP="007F29F9">
      <w:pPr>
        <w:pStyle w:val="Nagwek1"/>
      </w:pPr>
      <w:r>
        <w:rPr>
          <w:bCs/>
          <w:lang w:val="en-GB"/>
        </w:rPr>
        <w:t>Transitional provisions</w:t>
      </w:r>
    </w:p>
    <w:p w14:paraId="532DFE97" w14:textId="1CCC11FA" w:rsidR="00242C20" w:rsidRPr="00EC6AEA" w:rsidRDefault="00242C20" w:rsidP="007F29F9">
      <w:pPr>
        <w:pStyle w:val="Nagwek2"/>
      </w:pPr>
      <w:r>
        <w:rPr>
          <w:bCs/>
          <w:lang w:val="en-GB"/>
        </w:rPr>
        <w:t>§ 9</w:t>
      </w:r>
    </w:p>
    <w:p w14:paraId="17B36762" w14:textId="4C643A02" w:rsidR="00242C20" w:rsidRPr="00124D87" w:rsidRDefault="00242C20" w:rsidP="00D50590">
      <w:pPr>
        <w:pStyle w:val="Akapitzlist"/>
        <w:numPr>
          <w:ilvl w:val="2"/>
          <w:numId w:val="18"/>
        </w:numPr>
        <w:spacing w:after="0" w:line="360" w:lineRule="auto"/>
        <w:ind w:left="426" w:hanging="32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Procedure for conferring of a doctoral, post-doctoral degree and the professor title initiated after 30 September 2019 shall be conducted pursuant to the provisions of the Act, except that in the procedures initiated by 31 December 2020, the achievements referred to in </w:t>
      </w:r>
      <w:hyperlink r:id="rId7" w:anchor="/document/18750400?unitId=art(186)ust(1)pkt(3)lit(a)&amp;cm=DOCUMENT" w:history="1">
        <w:r w:rsidR="0085435C">
          <w:rPr>
            <w:rFonts w:asciiTheme="minorHAnsi" w:eastAsia="Times New Roman" w:hAnsiTheme="minorHAnsi" w:cstheme="minorHAnsi"/>
            <w:sz w:val="24"/>
            <w:szCs w:val="24"/>
            <w:lang w:val="en-GB"/>
          </w:rPr>
          <w:t>Art. 186 sec. 1 point 3 le</w:t>
        </w:r>
        <w:r>
          <w:rPr>
            <w:rFonts w:asciiTheme="minorHAnsi" w:eastAsia="Times New Roman" w:hAnsiTheme="minorHAnsi" w:cstheme="minorHAnsi"/>
            <w:sz w:val="24"/>
            <w:szCs w:val="24"/>
            <w:lang w:val="en-GB"/>
          </w:rPr>
          <w:t>t. a</w:t>
        </w:r>
      </w:hyperlink>
      <w:r>
        <w:rPr>
          <w:rFonts w:asciiTheme="minorHAnsi" w:eastAsia="Times New Roman" w:hAnsiTheme="minorHAnsi" w:cstheme="minorHAnsi"/>
          <w:sz w:val="24"/>
          <w:szCs w:val="24"/>
          <w:lang w:val="en-GB"/>
        </w:rPr>
        <w:t xml:space="preserve"> and </w:t>
      </w:r>
      <w:hyperlink r:id="rId8" w:anchor="/document/18750400?unitId=art(219)ust(1)pkt(2)lit(b)&amp;cm=DOCUMENT" w:history="1">
        <w:r>
          <w:rPr>
            <w:rFonts w:asciiTheme="minorHAnsi" w:eastAsia="Times New Roman" w:hAnsiTheme="minorHAnsi" w:cstheme="minorHAnsi"/>
            <w:sz w:val="24"/>
            <w:szCs w:val="24"/>
            <w:lang w:val="en-GB"/>
          </w:rPr>
          <w:t>Art. 219, sec. 1 point 2 let. b</w:t>
        </w:r>
      </w:hyperlink>
      <w:r>
        <w:rPr>
          <w:rFonts w:asciiTheme="minorHAnsi" w:eastAsia="Times New Roman" w:hAnsiTheme="minorHAnsi" w:cstheme="minorHAnsi"/>
          <w:sz w:val="24"/>
          <w:szCs w:val="24"/>
          <w:lang w:val="en-GB"/>
        </w:rPr>
        <w:t xml:space="preserve"> of the Act, also include:</w:t>
      </w:r>
    </w:p>
    <w:p w14:paraId="5891E2E8" w14:textId="404C6468" w:rsidR="00242C20" w:rsidRPr="00EC6AEA" w:rsidRDefault="00242C20" w:rsidP="00D50590">
      <w:pPr>
        <w:pStyle w:val="Akapitzlist"/>
        <w:numPr>
          <w:ilvl w:val="1"/>
          <w:numId w:val="19"/>
        </w:numPr>
        <w:spacing w:after="0" w:line="360" w:lineRule="auto"/>
        <w:ind w:left="851"/>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scientific papers published:</w:t>
      </w:r>
    </w:p>
    <w:p w14:paraId="6FBAC2FB" w14:textId="4CA7481D" w:rsidR="00242C20" w:rsidRPr="00124D87" w:rsidRDefault="00242C20" w:rsidP="00D50590">
      <w:pPr>
        <w:pStyle w:val="Akapitzlist"/>
        <w:numPr>
          <w:ilvl w:val="1"/>
          <w:numId w:val="8"/>
        </w:numPr>
        <w:spacing w:after="0" w:line="360" w:lineRule="auto"/>
        <w:ind w:left="127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in a scientific journal or in peer-reviewed materials from an international conference included in the list drawn up in accordance with the regulations issued pursuant to </w:t>
      </w:r>
      <w:hyperlink r:id="rId9" w:anchor="/document/18750400?unitId=art(267)ust(2)pkt(2)lit(b)&amp;cm=DOCUMENT" w:history="1">
        <w:r>
          <w:rPr>
            <w:rFonts w:asciiTheme="minorHAnsi" w:eastAsia="Times New Roman" w:hAnsiTheme="minorHAnsi" w:cstheme="minorHAnsi"/>
            <w:sz w:val="24"/>
            <w:szCs w:val="24"/>
            <w:lang w:val="en-GB"/>
          </w:rPr>
          <w:t>Article 267 sec. 2 item 2 (b)</w:t>
        </w:r>
      </w:hyperlink>
      <w:r>
        <w:rPr>
          <w:rFonts w:asciiTheme="minorHAnsi" w:eastAsia="Times New Roman" w:hAnsiTheme="minorHAnsi" w:cstheme="minorHAnsi"/>
          <w:sz w:val="24"/>
          <w:szCs w:val="24"/>
          <w:lang w:val="en-GB"/>
        </w:rPr>
        <w:t xml:space="preserve"> of the Act, before the date of publication of this list,</w:t>
      </w:r>
    </w:p>
    <w:p w14:paraId="6AD71C2E" w14:textId="4E48E039" w:rsidR="00242C20" w:rsidRPr="00124D87" w:rsidRDefault="00242C20" w:rsidP="0085435C">
      <w:pPr>
        <w:pStyle w:val="Akapitzlist"/>
        <w:numPr>
          <w:ilvl w:val="1"/>
          <w:numId w:val="8"/>
        </w:numPr>
        <w:spacing w:after="0" w:line="36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before 1 January 2019 - in scientific journals that were included in part A or C of the list of scientific journals established on the basis of regulations issued pursuant to </w:t>
      </w:r>
      <w:hyperlink r:id="rId10" w:anchor="/document/17622733?unitId=art(44)ust(2)&amp;cm=DOCUMENT" w:history="1">
        <w:r>
          <w:rPr>
            <w:rFonts w:asciiTheme="minorHAnsi" w:eastAsia="Times New Roman" w:hAnsiTheme="minorHAnsi" w:cstheme="minorHAnsi"/>
            <w:sz w:val="24"/>
            <w:szCs w:val="24"/>
            <w:lang w:val="en-GB"/>
          </w:rPr>
          <w:t>Art. 44 sec. 2</w:t>
        </w:r>
      </w:hyperlink>
      <w:r w:rsidR="0085435C">
        <w:rPr>
          <w:rFonts w:asciiTheme="minorHAnsi" w:eastAsia="Times New Roman" w:hAnsiTheme="minorHAnsi" w:cstheme="minorHAnsi"/>
          <w:sz w:val="24"/>
          <w:szCs w:val="24"/>
          <w:lang w:val="en-GB"/>
        </w:rPr>
        <w:t xml:space="preserve"> of the Act, dated 30 April 2010 </w:t>
      </w:r>
      <w:r w:rsidR="0085435C" w:rsidRPr="0085435C">
        <w:rPr>
          <w:rFonts w:asciiTheme="minorHAnsi" w:eastAsia="Times New Roman" w:hAnsiTheme="minorHAnsi" w:cstheme="minorHAnsi"/>
          <w:sz w:val="24"/>
          <w:szCs w:val="24"/>
          <w:lang w:val="en-GB"/>
        </w:rPr>
        <w:t>on Rules for Financing of Science</w:t>
      </w:r>
      <w:r w:rsidR="004A1D3E">
        <w:rPr>
          <w:rFonts w:asciiTheme="minorHAnsi" w:eastAsia="Times New Roman" w:hAnsiTheme="minorHAnsi" w:cstheme="minorHAnsi"/>
          <w:sz w:val="24"/>
          <w:szCs w:val="24"/>
          <w:lang w:val="en-GB"/>
        </w:rPr>
        <w:t xml:space="preserve"> (Journal of Laws, 2018, </w:t>
      </w:r>
      <w:r>
        <w:rPr>
          <w:rFonts w:asciiTheme="minorHAnsi" w:eastAsia="Times New Roman" w:hAnsiTheme="minorHAnsi" w:cstheme="minorHAnsi"/>
          <w:sz w:val="24"/>
          <w:szCs w:val="24"/>
          <w:lang w:val="en-GB"/>
        </w:rPr>
        <w:t>point 87</w:t>
      </w:r>
      <w:r w:rsidR="004A1D3E">
        <w:rPr>
          <w:rFonts w:asciiTheme="minorHAnsi" w:eastAsia="Times New Roman" w:hAnsiTheme="minorHAnsi" w:cstheme="minorHAnsi"/>
          <w:sz w:val="24"/>
          <w:szCs w:val="24"/>
          <w:lang w:val="en-GB"/>
        </w:rPr>
        <w:t>)</w:t>
      </w:r>
      <w:r>
        <w:rPr>
          <w:rFonts w:asciiTheme="minorHAnsi" w:eastAsia="Times New Roman" w:hAnsiTheme="minorHAnsi" w:cstheme="minorHAnsi"/>
          <w:sz w:val="24"/>
          <w:szCs w:val="24"/>
          <w:lang w:val="en-GB"/>
        </w:rPr>
        <w:t xml:space="preserve"> and announced in the communication of the Minister of Science and Higher Education of 25 January 2017 or were included in part B of this list, with at least 10 points awarded to scientific articles published therein;</w:t>
      </w:r>
    </w:p>
    <w:p w14:paraId="5960FA6F" w14:textId="5D89E0CA" w:rsidR="00242C20" w:rsidRPr="00EC6AEA" w:rsidRDefault="00242C20" w:rsidP="00D50590">
      <w:pPr>
        <w:pStyle w:val="Akapitzlist"/>
        <w:numPr>
          <w:ilvl w:val="1"/>
          <w:numId w:val="19"/>
        </w:numPr>
        <w:spacing w:after="0" w:line="360" w:lineRule="auto"/>
        <w:ind w:left="851"/>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scientific monographs published by:</w:t>
      </w:r>
    </w:p>
    <w:p w14:paraId="7874598D" w14:textId="3DB62E2C" w:rsidR="00242C20" w:rsidRPr="00124D87" w:rsidRDefault="00242C20" w:rsidP="00D50590">
      <w:pPr>
        <w:pStyle w:val="Akapitzlist"/>
        <w:numPr>
          <w:ilvl w:val="1"/>
          <w:numId w:val="9"/>
        </w:numPr>
        <w:spacing w:after="0" w:line="360" w:lineRule="auto"/>
        <w:ind w:left="127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lastRenderedPageBreak/>
        <w:t xml:space="preserve">a publishing house included in the list drawn up in accordance with the provisions issued on the basis of </w:t>
      </w:r>
      <w:hyperlink r:id="rId11" w:anchor="/document/18750400?unitId=art(267)ust(2)pkt(2)lit(a)&amp;cm=DOCUMENT" w:history="1">
        <w:r w:rsidR="004A1D3E">
          <w:rPr>
            <w:rFonts w:asciiTheme="minorHAnsi" w:eastAsia="Times New Roman" w:hAnsiTheme="minorHAnsi" w:cstheme="minorHAnsi"/>
            <w:sz w:val="24"/>
            <w:szCs w:val="24"/>
            <w:lang w:val="en-GB"/>
          </w:rPr>
          <w:t xml:space="preserve">art. 267 sec. 2 point 2 let. </w:t>
        </w:r>
        <w:r>
          <w:rPr>
            <w:rFonts w:asciiTheme="minorHAnsi" w:eastAsia="Times New Roman" w:hAnsiTheme="minorHAnsi" w:cstheme="minorHAnsi"/>
            <w:sz w:val="24"/>
            <w:szCs w:val="24"/>
            <w:lang w:val="en-GB"/>
          </w:rPr>
          <w:t xml:space="preserve">a </w:t>
        </w:r>
      </w:hyperlink>
      <w:r>
        <w:rPr>
          <w:rFonts w:asciiTheme="minorHAnsi" w:eastAsia="Times New Roman" w:hAnsiTheme="minorHAnsi" w:cstheme="minorHAnsi"/>
          <w:sz w:val="24"/>
          <w:szCs w:val="24"/>
          <w:lang w:val="en-GB"/>
        </w:rPr>
        <w:t>of this Act, before the date of publication of this list,</w:t>
      </w:r>
    </w:p>
    <w:p w14:paraId="229C5F46" w14:textId="557436CB" w:rsidR="00242C20" w:rsidRPr="00124D87" w:rsidRDefault="00242C20" w:rsidP="00D50590">
      <w:pPr>
        <w:pStyle w:val="Akapitzlist"/>
        <w:numPr>
          <w:ilvl w:val="1"/>
          <w:numId w:val="9"/>
        </w:numPr>
        <w:spacing w:after="0" w:line="360" w:lineRule="auto"/>
        <w:ind w:left="127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organizational unit of the entity whose publishing house is included in the list drawn up in accordance with the provisions issued on the basis of </w:t>
      </w:r>
      <w:hyperlink r:id="rId12" w:anchor="/document/18750400?unitId=art(267)ust(2)pkt(2)lit(a)&amp;cm=DOCUMENT" w:history="1">
        <w:r w:rsidR="004A1D3E">
          <w:rPr>
            <w:rFonts w:asciiTheme="minorHAnsi" w:eastAsia="Times New Roman" w:hAnsiTheme="minorHAnsi" w:cstheme="minorHAnsi"/>
            <w:sz w:val="24"/>
            <w:szCs w:val="24"/>
            <w:lang w:val="en-GB"/>
          </w:rPr>
          <w:t>Art. 267 sec. 2 point 2 le</w:t>
        </w:r>
        <w:r>
          <w:rPr>
            <w:rFonts w:asciiTheme="minorHAnsi" w:eastAsia="Times New Roman" w:hAnsiTheme="minorHAnsi" w:cstheme="minorHAnsi"/>
            <w:sz w:val="24"/>
            <w:szCs w:val="24"/>
            <w:lang w:val="en-GB"/>
          </w:rPr>
          <w:t>t. a</w:t>
        </w:r>
      </w:hyperlink>
      <w:r>
        <w:rPr>
          <w:rFonts w:asciiTheme="minorHAnsi" w:eastAsia="Times New Roman" w:hAnsiTheme="minorHAnsi" w:cstheme="minorHAnsi"/>
          <w:sz w:val="24"/>
          <w:szCs w:val="24"/>
          <w:lang w:val="en-GB"/>
        </w:rPr>
        <w:t xml:space="preserve"> of this Act.</w:t>
      </w:r>
    </w:p>
    <w:p w14:paraId="375DD98F" w14:textId="7F18E0F6" w:rsidR="00242C20" w:rsidRPr="00124D87" w:rsidRDefault="001663E1" w:rsidP="00D50590">
      <w:pPr>
        <w:pStyle w:val="Akapitzlist"/>
        <w:numPr>
          <w:ilvl w:val="0"/>
          <w:numId w:val="11"/>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sz w:val="24"/>
          <w:szCs w:val="24"/>
          <w:lang w:val="en-GB"/>
        </w:rPr>
        <w:t>Members of</w:t>
      </w:r>
      <w:r w:rsidR="0069272F" w:rsidRPr="0069272F">
        <w:rPr>
          <w:rFonts w:asciiTheme="minorHAnsi" w:hAnsiTheme="minorHAnsi" w:cstheme="minorHAnsi"/>
          <w:sz w:val="24"/>
          <w:szCs w:val="24"/>
          <w:lang w:val="en-GB"/>
        </w:rPr>
        <w:t xml:space="preserve"> Habilitation Committee</w:t>
      </w:r>
      <w:r w:rsidR="004A1D3E">
        <w:rPr>
          <w:rFonts w:asciiTheme="minorHAnsi" w:eastAsia="Times New Roman" w:hAnsiTheme="minorHAnsi"/>
          <w:sz w:val="24"/>
          <w:szCs w:val="24"/>
          <w:lang w:val="en-GB"/>
        </w:rPr>
        <w:t>, Deans, members of the Senate, members of C</w:t>
      </w:r>
      <w:r>
        <w:rPr>
          <w:rFonts w:asciiTheme="minorHAnsi" w:eastAsia="Times New Roman" w:hAnsiTheme="minorHAnsi"/>
          <w:sz w:val="24"/>
          <w:szCs w:val="24"/>
          <w:lang w:val="en-GB"/>
        </w:rPr>
        <w:t xml:space="preserve">ouncils, </w:t>
      </w:r>
      <w:r w:rsidRPr="0069272F">
        <w:rPr>
          <w:rFonts w:asciiTheme="minorHAnsi" w:eastAsia="Times New Roman" w:hAnsiTheme="minorHAnsi"/>
          <w:sz w:val="24"/>
          <w:szCs w:val="24"/>
          <w:lang w:val="en-GB"/>
        </w:rPr>
        <w:t xml:space="preserve">reviewers, promoters and </w:t>
      </w:r>
      <w:r>
        <w:rPr>
          <w:rFonts w:asciiTheme="minorHAnsi" w:eastAsia="Times New Roman" w:hAnsiTheme="minorHAnsi"/>
          <w:sz w:val="24"/>
          <w:szCs w:val="24"/>
          <w:lang w:val="en-GB"/>
        </w:rPr>
        <w:t xml:space="preserve">other persons participating in the procedures for conferring a post-doctoral degree, process personal data of persons applying for a doctoral degree on the instructions and authorization of </w:t>
      </w:r>
      <w:r w:rsidRPr="0069272F">
        <w:rPr>
          <w:rFonts w:asciiTheme="minorHAnsi" w:eastAsia="Times New Roman" w:hAnsiTheme="minorHAnsi"/>
          <w:sz w:val="24"/>
          <w:szCs w:val="24"/>
          <w:lang w:val="en-GB"/>
        </w:rPr>
        <w:t>the data</w:t>
      </w:r>
      <w:r w:rsidR="0069272F" w:rsidRPr="0069272F">
        <w:rPr>
          <w:rFonts w:asciiTheme="minorHAnsi" w:eastAsia="Times New Roman" w:hAnsiTheme="minorHAnsi"/>
          <w:sz w:val="24"/>
          <w:szCs w:val="24"/>
          <w:lang w:val="en-GB"/>
        </w:rPr>
        <w:t xml:space="preserve"> administrator</w:t>
      </w:r>
      <w:r w:rsidRPr="0069272F">
        <w:rPr>
          <w:rFonts w:asciiTheme="minorHAnsi" w:eastAsia="Times New Roman" w:hAnsiTheme="minorHAnsi"/>
          <w:sz w:val="24"/>
          <w:szCs w:val="24"/>
          <w:lang w:val="en-GB"/>
        </w:rPr>
        <w:t xml:space="preserve"> </w:t>
      </w:r>
      <w:r>
        <w:rPr>
          <w:rFonts w:asciiTheme="minorHAnsi" w:eastAsia="Times New Roman" w:hAnsiTheme="minorHAnsi"/>
          <w:sz w:val="24"/>
          <w:szCs w:val="24"/>
          <w:lang w:val="en-GB"/>
        </w:rPr>
        <w:t>and undertake to keep confidential the personal data to which they will have access during the procedure for conferring a post-doctoral degree.</w:t>
      </w:r>
    </w:p>
    <w:sectPr w:rsidR="00242C20" w:rsidRPr="00124D87" w:rsidSect="00AD6334">
      <w:pgSz w:w="11906" w:h="16838"/>
      <w:pgMar w:top="992" w:right="1418" w:bottom="45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79595" w14:textId="77777777" w:rsidR="00EF61CB" w:rsidRDefault="00EF61CB" w:rsidP="009B3D24">
      <w:pPr>
        <w:spacing w:after="0" w:line="240" w:lineRule="auto"/>
      </w:pPr>
      <w:r>
        <w:separator/>
      </w:r>
    </w:p>
  </w:endnote>
  <w:endnote w:type="continuationSeparator" w:id="0">
    <w:p w14:paraId="5BA53DFE" w14:textId="77777777" w:rsidR="00EF61CB" w:rsidRDefault="00EF61CB" w:rsidP="009B3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10165" w14:textId="77777777" w:rsidR="00EF61CB" w:rsidRDefault="00EF61CB" w:rsidP="009B3D24">
      <w:pPr>
        <w:spacing w:after="0" w:line="240" w:lineRule="auto"/>
      </w:pPr>
      <w:r>
        <w:separator/>
      </w:r>
    </w:p>
  </w:footnote>
  <w:footnote w:type="continuationSeparator" w:id="0">
    <w:p w14:paraId="22AFA42F" w14:textId="77777777" w:rsidR="00EF61CB" w:rsidRDefault="00EF61CB" w:rsidP="009B3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1D22"/>
    <w:multiLevelType w:val="hybridMultilevel"/>
    <w:tmpl w:val="941698A4"/>
    <w:lvl w:ilvl="0" w:tplc="0415000F">
      <w:start w:val="1"/>
      <w:numFmt w:val="decimal"/>
      <w:lvlText w:val="%1."/>
      <w:lvlJc w:val="left"/>
      <w:pPr>
        <w:ind w:left="720" w:hanging="360"/>
      </w:pPr>
    </w:lvl>
    <w:lvl w:ilvl="1" w:tplc="48E4E0B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67775"/>
    <w:multiLevelType w:val="hybridMultilevel"/>
    <w:tmpl w:val="C46E6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475FCE"/>
    <w:multiLevelType w:val="hybridMultilevel"/>
    <w:tmpl w:val="341A51E0"/>
    <w:lvl w:ilvl="0" w:tplc="04150011">
      <w:start w:val="1"/>
      <w:numFmt w:val="decimal"/>
      <w:lvlText w:val="%1)"/>
      <w:lvlJc w:val="left"/>
      <w:pPr>
        <w:ind w:left="862" w:hanging="360"/>
      </w:p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33D813D7"/>
    <w:multiLevelType w:val="hybridMultilevel"/>
    <w:tmpl w:val="A0C095DA"/>
    <w:lvl w:ilvl="0" w:tplc="3FF2A83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13409A"/>
    <w:multiLevelType w:val="hybridMultilevel"/>
    <w:tmpl w:val="1EC0194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B446CE"/>
    <w:multiLevelType w:val="hybridMultilevel"/>
    <w:tmpl w:val="05561F3E"/>
    <w:lvl w:ilvl="0" w:tplc="04150011">
      <w:start w:val="1"/>
      <w:numFmt w:val="decimal"/>
      <w:lvlText w:val="%1)"/>
      <w:lvlJc w:val="left"/>
      <w:pPr>
        <w:ind w:left="1789" w:hanging="360"/>
      </w:pPr>
    </w:lvl>
    <w:lvl w:ilvl="1" w:tplc="04150019" w:tentative="1">
      <w:start w:val="1"/>
      <w:numFmt w:val="lowerLetter"/>
      <w:lvlText w:val="%2."/>
      <w:lvlJc w:val="left"/>
      <w:pPr>
        <w:ind w:left="2509" w:hanging="360"/>
      </w:pPr>
    </w:lvl>
    <w:lvl w:ilvl="2" w:tplc="0415001B">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 w15:restartNumberingAfterBreak="0">
    <w:nsid w:val="529E2EFC"/>
    <w:multiLevelType w:val="hybridMultilevel"/>
    <w:tmpl w:val="6C4AEF38"/>
    <w:lvl w:ilvl="0" w:tplc="0B1442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72386A"/>
    <w:multiLevelType w:val="hybridMultilevel"/>
    <w:tmpl w:val="847C2308"/>
    <w:lvl w:ilvl="0" w:tplc="4BBAB6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C529BE"/>
    <w:multiLevelType w:val="hybridMultilevel"/>
    <w:tmpl w:val="9D400B2A"/>
    <w:lvl w:ilvl="0" w:tplc="04150011">
      <w:start w:val="1"/>
      <w:numFmt w:val="decimal"/>
      <w:lvlText w:val="%1)"/>
      <w:lvlJc w:val="left"/>
      <w:pPr>
        <w:ind w:left="720" w:hanging="360"/>
      </w:pPr>
    </w:lvl>
    <w:lvl w:ilvl="1" w:tplc="9D764C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D63A00"/>
    <w:multiLevelType w:val="hybridMultilevel"/>
    <w:tmpl w:val="C244468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622B5AC0"/>
    <w:multiLevelType w:val="hybridMultilevel"/>
    <w:tmpl w:val="092C3B1C"/>
    <w:lvl w:ilvl="0" w:tplc="5E5AFFAE">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15C5DD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872D6F"/>
    <w:multiLevelType w:val="hybridMultilevel"/>
    <w:tmpl w:val="E2AA31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5F24688"/>
    <w:multiLevelType w:val="hybridMultilevel"/>
    <w:tmpl w:val="6EBA2D36"/>
    <w:lvl w:ilvl="0" w:tplc="04150011">
      <w:start w:val="1"/>
      <w:numFmt w:val="decimal"/>
      <w:lvlText w:val="%1)"/>
      <w:lvlJc w:val="left"/>
      <w:pPr>
        <w:ind w:left="1004" w:hanging="360"/>
      </w:pPr>
    </w:lvl>
    <w:lvl w:ilvl="1" w:tplc="3B9E66AC">
      <w:start w:val="1"/>
      <w:numFmt w:val="lowerLetter"/>
      <w:lvlText w:val="%2)"/>
      <w:lvlJc w:val="left"/>
      <w:pPr>
        <w:ind w:left="1724" w:hanging="360"/>
      </w:pPr>
      <w:rPr>
        <w:rFonts w:hint="default"/>
      </w:rPr>
    </w:lvl>
    <w:lvl w:ilvl="2" w:tplc="CA84AB96">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DDE2D6F"/>
    <w:multiLevelType w:val="hybridMultilevel"/>
    <w:tmpl w:val="E28CD6E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0F">
      <w:start w:val="1"/>
      <w:numFmt w:val="decimal"/>
      <w:lvlText w:val="%3."/>
      <w:lvlJc w:val="lef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15:restartNumberingAfterBreak="0">
    <w:nsid w:val="71830518"/>
    <w:multiLevelType w:val="hybridMultilevel"/>
    <w:tmpl w:val="A0069C16"/>
    <w:lvl w:ilvl="0" w:tplc="04150017">
      <w:start w:val="1"/>
      <w:numFmt w:val="lowerLetter"/>
      <w:lvlText w:val="%1)"/>
      <w:lvlJc w:val="left"/>
      <w:pPr>
        <w:ind w:left="1440" w:hanging="360"/>
      </w:pPr>
    </w:lvl>
    <w:lvl w:ilvl="1" w:tplc="7C00AA06">
      <w:start w:val="1"/>
      <w:numFmt w:val="lowerLetter"/>
      <w:lvlText w:val="%2)"/>
      <w:lvlJc w:val="left"/>
      <w:pPr>
        <w:ind w:left="2160" w:hanging="360"/>
      </w:pPr>
      <w:rPr>
        <w:rFonts w:asciiTheme="minorHAnsi" w:eastAsia="Times New Roman" w:hAnsiTheme="minorHAnsi" w:cstheme="minorHAns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75E22E76"/>
    <w:multiLevelType w:val="hybridMultilevel"/>
    <w:tmpl w:val="481CA800"/>
    <w:lvl w:ilvl="0" w:tplc="5E5AFFAE">
      <w:start w:val="1"/>
      <w:numFmt w:val="lowerLetter"/>
      <w:lvlText w:val="%1)"/>
      <w:lvlJc w:val="left"/>
      <w:pPr>
        <w:ind w:left="720" w:hanging="360"/>
      </w:pPr>
      <w:rPr>
        <w:rFonts w:hint="default"/>
      </w:rPr>
    </w:lvl>
    <w:lvl w:ilvl="1" w:tplc="5E5AFF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E803AE"/>
    <w:multiLevelType w:val="hybridMultilevel"/>
    <w:tmpl w:val="B79C6052"/>
    <w:lvl w:ilvl="0" w:tplc="4EE2829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2F1E79"/>
    <w:multiLevelType w:val="hybridMultilevel"/>
    <w:tmpl w:val="9A063E68"/>
    <w:lvl w:ilvl="0" w:tplc="6E5AFA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7DF8626E"/>
    <w:multiLevelType w:val="hybridMultilevel"/>
    <w:tmpl w:val="AED8FF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4"/>
  </w:num>
  <w:num w:numId="3">
    <w:abstractNumId w:val="18"/>
  </w:num>
  <w:num w:numId="4">
    <w:abstractNumId w:val="6"/>
  </w:num>
  <w:num w:numId="5">
    <w:abstractNumId w:val="0"/>
  </w:num>
  <w:num w:numId="6">
    <w:abstractNumId w:val="11"/>
  </w:num>
  <w:num w:numId="7">
    <w:abstractNumId w:val="3"/>
  </w:num>
  <w:num w:numId="8">
    <w:abstractNumId w:val="10"/>
  </w:num>
  <w:num w:numId="9">
    <w:abstractNumId w:val="14"/>
  </w:num>
  <w:num w:numId="10">
    <w:abstractNumId w:val="5"/>
  </w:num>
  <w:num w:numId="11">
    <w:abstractNumId w:val="16"/>
  </w:num>
  <w:num w:numId="12">
    <w:abstractNumId w:val="17"/>
  </w:num>
  <w:num w:numId="13">
    <w:abstractNumId w:val="12"/>
  </w:num>
  <w:num w:numId="14">
    <w:abstractNumId w:val="15"/>
  </w:num>
  <w:num w:numId="15">
    <w:abstractNumId w:val="7"/>
  </w:num>
  <w:num w:numId="16">
    <w:abstractNumId w:val="1"/>
  </w:num>
  <w:num w:numId="17">
    <w:abstractNumId w:val="9"/>
  </w:num>
  <w:num w:numId="18">
    <w:abstractNumId w:val="13"/>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A3"/>
    <w:rsid w:val="0003101F"/>
    <w:rsid w:val="00032872"/>
    <w:rsid w:val="00036C73"/>
    <w:rsid w:val="00056329"/>
    <w:rsid w:val="000639A3"/>
    <w:rsid w:val="00082C1C"/>
    <w:rsid w:val="0008481C"/>
    <w:rsid w:val="000951B1"/>
    <w:rsid w:val="000A5607"/>
    <w:rsid w:val="000C5F16"/>
    <w:rsid w:val="000E19D7"/>
    <w:rsid w:val="000F05D2"/>
    <w:rsid w:val="000F5716"/>
    <w:rsid w:val="00124A1F"/>
    <w:rsid w:val="00124D87"/>
    <w:rsid w:val="001516A5"/>
    <w:rsid w:val="001663E1"/>
    <w:rsid w:val="001B111C"/>
    <w:rsid w:val="00201CD5"/>
    <w:rsid w:val="00211C33"/>
    <w:rsid w:val="0023778A"/>
    <w:rsid w:val="00241D71"/>
    <w:rsid w:val="00242C20"/>
    <w:rsid w:val="002B2FD3"/>
    <w:rsid w:val="002D1874"/>
    <w:rsid w:val="002D2C6B"/>
    <w:rsid w:val="002E68D7"/>
    <w:rsid w:val="00306799"/>
    <w:rsid w:val="00342935"/>
    <w:rsid w:val="003627D7"/>
    <w:rsid w:val="00377F81"/>
    <w:rsid w:val="0038261B"/>
    <w:rsid w:val="00385CBF"/>
    <w:rsid w:val="00395216"/>
    <w:rsid w:val="003B4B4B"/>
    <w:rsid w:val="003C79E7"/>
    <w:rsid w:val="00441778"/>
    <w:rsid w:val="0046718C"/>
    <w:rsid w:val="00485F2E"/>
    <w:rsid w:val="004916BB"/>
    <w:rsid w:val="00492D88"/>
    <w:rsid w:val="004A1D3E"/>
    <w:rsid w:val="004A2B7B"/>
    <w:rsid w:val="004F4F69"/>
    <w:rsid w:val="00524FB8"/>
    <w:rsid w:val="00535E5A"/>
    <w:rsid w:val="00571FA2"/>
    <w:rsid w:val="00575619"/>
    <w:rsid w:val="00586C8D"/>
    <w:rsid w:val="005A06D0"/>
    <w:rsid w:val="005D3845"/>
    <w:rsid w:val="005E470D"/>
    <w:rsid w:val="00603C71"/>
    <w:rsid w:val="00604C44"/>
    <w:rsid w:val="00622112"/>
    <w:rsid w:val="00637AF4"/>
    <w:rsid w:val="0069272F"/>
    <w:rsid w:val="00697AA8"/>
    <w:rsid w:val="00705F7E"/>
    <w:rsid w:val="00716CE4"/>
    <w:rsid w:val="007549B0"/>
    <w:rsid w:val="00795D4C"/>
    <w:rsid w:val="007A5076"/>
    <w:rsid w:val="007C05D8"/>
    <w:rsid w:val="007C2981"/>
    <w:rsid w:val="007E1FB6"/>
    <w:rsid w:val="007F29F9"/>
    <w:rsid w:val="00805FCB"/>
    <w:rsid w:val="00817FF8"/>
    <w:rsid w:val="00841EBA"/>
    <w:rsid w:val="0085435C"/>
    <w:rsid w:val="008B03C6"/>
    <w:rsid w:val="008B0422"/>
    <w:rsid w:val="008B3E73"/>
    <w:rsid w:val="008D66C4"/>
    <w:rsid w:val="009159F5"/>
    <w:rsid w:val="00957373"/>
    <w:rsid w:val="009949E0"/>
    <w:rsid w:val="00995B28"/>
    <w:rsid w:val="009B3D24"/>
    <w:rsid w:val="009B66B6"/>
    <w:rsid w:val="009F4105"/>
    <w:rsid w:val="009F75D2"/>
    <w:rsid w:val="00A025E7"/>
    <w:rsid w:val="00A24253"/>
    <w:rsid w:val="00A3017F"/>
    <w:rsid w:val="00A9539E"/>
    <w:rsid w:val="00AB5723"/>
    <w:rsid w:val="00AD6334"/>
    <w:rsid w:val="00AF0883"/>
    <w:rsid w:val="00B21686"/>
    <w:rsid w:val="00B31BAD"/>
    <w:rsid w:val="00B37307"/>
    <w:rsid w:val="00B52737"/>
    <w:rsid w:val="00B66345"/>
    <w:rsid w:val="00BC11FD"/>
    <w:rsid w:val="00BC7D62"/>
    <w:rsid w:val="00C257CE"/>
    <w:rsid w:val="00C26BAA"/>
    <w:rsid w:val="00C32664"/>
    <w:rsid w:val="00C37F6A"/>
    <w:rsid w:val="00C57E33"/>
    <w:rsid w:val="00C97EFF"/>
    <w:rsid w:val="00CA5295"/>
    <w:rsid w:val="00CC034D"/>
    <w:rsid w:val="00CE2410"/>
    <w:rsid w:val="00CE6A49"/>
    <w:rsid w:val="00D05C28"/>
    <w:rsid w:val="00D272EF"/>
    <w:rsid w:val="00D43B23"/>
    <w:rsid w:val="00D50590"/>
    <w:rsid w:val="00D80C55"/>
    <w:rsid w:val="00D903BC"/>
    <w:rsid w:val="00DB23DA"/>
    <w:rsid w:val="00DC66D7"/>
    <w:rsid w:val="00DC7E64"/>
    <w:rsid w:val="00DE5548"/>
    <w:rsid w:val="00E36BA7"/>
    <w:rsid w:val="00E40330"/>
    <w:rsid w:val="00EC6AEA"/>
    <w:rsid w:val="00ED7E81"/>
    <w:rsid w:val="00EF61CB"/>
    <w:rsid w:val="00F13ED0"/>
    <w:rsid w:val="00F34DFA"/>
    <w:rsid w:val="00F4572A"/>
    <w:rsid w:val="00F5124B"/>
    <w:rsid w:val="00F61066"/>
    <w:rsid w:val="00FB7ECD"/>
    <w:rsid w:val="00FC7C45"/>
    <w:rsid w:val="00FE54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6DFBD"/>
  <w15:docId w15:val="{4C14ED3D-C869-4BAA-884C-E0608CD7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7F29F9"/>
    <w:pPr>
      <w:spacing w:before="240" w:after="0" w:line="360" w:lineRule="auto"/>
      <w:contextualSpacing/>
      <w:mirrorIndents/>
      <w:outlineLvl w:val="0"/>
    </w:pPr>
    <w:rPr>
      <w:rFonts w:asciiTheme="minorHAnsi" w:hAnsiTheme="minorHAnsi" w:cstheme="minorHAnsi"/>
      <w:b/>
      <w:sz w:val="24"/>
      <w:szCs w:val="24"/>
    </w:rPr>
  </w:style>
  <w:style w:type="paragraph" w:styleId="Nagwek2">
    <w:name w:val="heading 2"/>
    <w:basedOn w:val="Nagwek1"/>
    <w:next w:val="Normalny"/>
    <w:link w:val="Nagwek2Znak"/>
    <w:uiPriority w:val="9"/>
    <w:unhideWhenUsed/>
    <w:qFormat/>
    <w:rsid w:val="007F29F9"/>
    <w:pPr>
      <w:spacing w:before="0"/>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E5548"/>
    <w:pPr>
      <w:ind w:left="720"/>
      <w:contextualSpacing/>
    </w:pPr>
  </w:style>
  <w:style w:type="paragraph" w:styleId="Tekstdymka">
    <w:name w:val="Balloon Text"/>
    <w:basedOn w:val="Normalny"/>
    <w:link w:val="TekstdymkaZnak"/>
    <w:uiPriority w:val="99"/>
    <w:semiHidden/>
    <w:unhideWhenUsed/>
    <w:rsid w:val="009B66B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B66B6"/>
    <w:rPr>
      <w:rFonts w:ascii="Segoe UI" w:hAnsi="Segoe UI" w:cs="Segoe UI"/>
      <w:sz w:val="18"/>
      <w:szCs w:val="18"/>
    </w:rPr>
  </w:style>
  <w:style w:type="character" w:styleId="Odwoaniedokomentarza">
    <w:name w:val="annotation reference"/>
    <w:uiPriority w:val="99"/>
    <w:semiHidden/>
    <w:unhideWhenUsed/>
    <w:rsid w:val="00395216"/>
    <w:rPr>
      <w:sz w:val="16"/>
      <w:szCs w:val="16"/>
    </w:rPr>
  </w:style>
  <w:style w:type="paragraph" w:styleId="Tekstkomentarza">
    <w:name w:val="annotation text"/>
    <w:basedOn w:val="Normalny"/>
    <w:link w:val="TekstkomentarzaZnak"/>
    <w:uiPriority w:val="99"/>
    <w:semiHidden/>
    <w:unhideWhenUsed/>
    <w:rsid w:val="00395216"/>
    <w:rPr>
      <w:sz w:val="20"/>
      <w:szCs w:val="20"/>
    </w:rPr>
  </w:style>
  <w:style w:type="character" w:customStyle="1" w:styleId="TekstkomentarzaZnak">
    <w:name w:val="Tekst komentarza Znak"/>
    <w:link w:val="Tekstkomentarza"/>
    <w:uiPriority w:val="99"/>
    <w:semiHidden/>
    <w:rsid w:val="00395216"/>
    <w:rPr>
      <w:lang w:eastAsia="en-US"/>
    </w:rPr>
  </w:style>
  <w:style w:type="paragraph" w:styleId="Tematkomentarza">
    <w:name w:val="annotation subject"/>
    <w:basedOn w:val="Tekstkomentarza"/>
    <w:next w:val="Tekstkomentarza"/>
    <w:link w:val="TematkomentarzaZnak"/>
    <w:uiPriority w:val="99"/>
    <w:semiHidden/>
    <w:unhideWhenUsed/>
    <w:rsid w:val="00395216"/>
    <w:rPr>
      <w:b/>
      <w:bCs/>
    </w:rPr>
  </w:style>
  <w:style w:type="character" w:customStyle="1" w:styleId="TematkomentarzaZnak">
    <w:name w:val="Temat komentarza Znak"/>
    <w:link w:val="Tematkomentarza"/>
    <w:uiPriority w:val="99"/>
    <w:semiHidden/>
    <w:rsid w:val="00395216"/>
    <w:rPr>
      <w:b/>
      <w:bCs/>
      <w:lang w:eastAsia="en-US"/>
    </w:rPr>
  </w:style>
  <w:style w:type="character" w:styleId="Hipercze">
    <w:name w:val="Hyperlink"/>
    <w:basedOn w:val="Domylnaczcionkaakapitu"/>
    <w:uiPriority w:val="99"/>
    <w:semiHidden/>
    <w:unhideWhenUsed/>
    <w:rsid w:val="00242C20"/>
    <w:rPr>
      <w:color w:val="0000FF"/>
      <w:u w:val="single"/>
    </w:rPr>
  </w:style>
  <w:style w:type="character" w:customStyle="1" w:styleId="alb">
    <w:name w:val="a_lb"/>
    <w:basedOn w:val="Domylnaczcionkaakapitu"/>
    <w:rsid w:val="00242C20"/>
  </w:style>
  <w:style w:type="character" w:styleId="Uwydatnienie">
    <w:name w:val="Emphasis"/>
    <w:basedOn w:val="Domylnaczcionkaakapitu"/>
    <w:uiPriority w:val="20"/>
    <w:qFormat/>
    <w:rsid w:val="00242C20"/>
    <w:rPr>
      <w:i/>
      <w:iCs/>
    </w:rPr>
  </w:style>
  <w:style w:type="paragraph" w:styleId="Tekstprzypisudolnego">
    <w:name w:val="footnote text"/>
    <w:basedOn w:val="Normalny"/>
    <w:link w:val="TekstprzypisudolnegoZnak"/>
    <w:uiPriority w:val="99"/>
    <w:semiHidden/>
    <w:unhideWhenUsed/>
    <w:rsid w:val="009B3D24"/>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B3D24"/>
    <w:rPr>
      <w:rFonts w:ascii="Times New Roman" w:eastAsia="Times New Roman" w:hAnsi="Times New Roman"/>
    </w:rPr>
  </w:style>
  <w:style w:type="character" w:styleId="Odwoanieprzypisudolnego">
    <w:name w:val="footnote reference"/>
    <w:basedOn w:val="Domylnaczcionkaakapitu"/>
    <w:uiPriority w:val="99"/>
    <w:semiHidden/>
    <w:unhideWhenUsed/>
    <w:rsid w:val="009B3D24"/>
    <w:rPr>
      <w:vertAlign w:val="superscript"/>
    </w:rPr>
  </w:style>
  <w:style w:type="character" w:customStyle="1" w:styleId="Nagwek1Znak">
    <w:name w:val="Nagłówek 1 Znak"/>
    <w:basedOn w:val="Domylnaczcionkaakapitu"/>
    <w:link w:val="Nagwek1"/>
    <w:uiPriority w:val="9"/>
    <w:rsid w:val="007F29F9"/>
    <w:rPr>
      <w:rFonts w:asciiTheme="minorHAnsi" w:hAnsiTheme="minorHAnsi" w:cstheme="minorHAnsi"/>
      <w:b/>
      <w:sz w:val="24"/>
      <w:szCs w:val="24"/>
      <w:lang w:eastAsia="en-US"/>
    </w:rPr>
  </w:style>
  <w:style w:type="character" w:customStyle="1" w:styleId="Nagwek2Znak">
    <w:name w:val="Nagłówek 2 Znak"/>
    <w:basedOn w:val="Domylnaczcionkaakapitu"/>
    <w:link w:val="Nagwek2"/>
    <w:uiPriority w:val="9"/>
    <w:rsid w:val="007F29F9"/>
    <w:rPr>
      <w:rFonts w:asciiTheme="minorHAnsi" w:hAnsiTheme="minorHAnsi" w:cstheme="minorHAns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925470">
      <w:bodyDiv w:val="1"/>
      <w:marLeft w:val="0"/>
      <w:marRight w:val="0"/>
      <w:marTop w:val="0"/>
      <w:marBottom w:val="0"/>
      <w:divBdr>
        <w:top w:val="none" w:sz="0" w:space="0" w:color="auto"/>
        <w:left w:val="none" w:sz="0" w:space="0" w:color="auto"/>
        <w:bottom w:val="none" w:sz="0" w:space="0" w:color="auto"/>
        <w:right w:val="none" w:sz="0" w:space="0" w:color="auto"/>
      </w:divBdr>
    </w:div>
    <w:div w:id="2001233246">
      <w:bodyDiv w:val="1"/>
      <w:marLeft w:val="0"/>
      <w:marRight w:val="0"/>
      <w:marTop w:val="0"/>
      <w:marBottom w:val="0"/>
      <w:divBdr>
        <w:top w:val="none" w:sz="0" w:space="0" w:color="auto"/>
        <w:left w:val="none" w:sz="0" w:space="0" w:color="auto"/>
        <w:bottom w:val="none" w:sz="0" w:space="0" w:color="auto"/>
        <w:right w:val="none" w:sz="0" w:space="0" w:color="auto"/>
      </w:divBdr>
      <w:divsChild>
        <w:div w:id="1187864481">
          <w:marLeft w:val="0"/>
          <w:marRight w:val="0"/>
          <w:marTop w:val="0"/>
          <w:marBottom w:val="0"/>
          <w:divBdr>
            <w:top w:val="none" w:sz="0" w:space="0" w:color="auto"/>
            <w:left w:val="none" w:sz="0" w:space="0" w:color="auto"/>
            <w:bottom w:val="none" w:sz="0" w:space="0" w:color="auto"/>
            <w:right w:val="none" w:sz="0" w:space="0" w:color="auto"/>
          </w:divBdr>
          <w:divsChild>
            <w:div w:id="927158141">
              <w:marLeft w:val="0"/>
              <w:marRight w:val="0"/>
              <w:marTop w:val="0"/>
              <w:marBottom w:val="0"/>
              <w:divBdr>
                <w:top w:val="none" w:sz="0" w:space="0" w:color="auto"/>
                <w:left w:val="none" w:sz="0" w:space="0" w:color="auto"/>
                <w:bottom w:val="none" w:sz="0" w:space="0" w:color="auto"/>
                <w:right w:val="none" w:sz="0" w:space="0" w:color="auto"/>
              </w:divBdr>
            </w:div>
            <w:div w:id="9184954">
              <w:marLeft w:val="0"/>
              <w:marRight w:val="0"/>
              <w:marTop w:val="0"/>
              <w:marBottom w:val="0"/>
              <w:divBdr>
                <w:top w:val="none" w:sz="0" w:space="0" w:color="auto"/>
                <w:left w:val="none" w:sz="0" w:space="0" w:color="auto"/>
                <w:bottom w:val="none" w:sz="0" w:space="0" w:color="auto"/>
                <w:right w:val="none" w:sz="0" w:space="0" w:color="auto"/>
              </w:divBdr>
            </w:div>
          </w:divsChild>
        </w:div>
        <w:div w:id="997807617">
          <w:marLeft w:val="0"/>
          <w:marRight w:val="0"/>
          <w:marTop w:val="0"/>
          <w:marBottom w:val="0"/>
          <w:divBdr>
            <w:top w:val="none" w:sz="0" w:space="0" w:color="auto"/>
            <w:left w:val="none" w:sz="0" w:space="0" w:color="auto"/>
            <w:bottom w:val="none" w:sz="0" w:space="0" w:color="auto"/>
            <w:right w:val="none" w:sz="0" w:space="0" w:color="auto"/>
          </w:divBdr>
          <w:divsChild>
            <w:div w:id="1526753614">
              <w:marLeft w:val="0"/>
              <w:marRight w:val="0"/>
              <w:marTop w:val="0"/>
              <w:marBottom w:val="0"/>
              <w:divBdr>
                <w:top w:val="none" w:sz="0" w:space="0" w:color="auto"/>
                <w:left w:val="none" w:sz="0" w:space="0" w:color="auto"/>
                <w:bottom w:val="none" w:sz="0" w:space="0" w:color="auto"/>
                <w:right w:val="none" w:sz="0" w:space="0" w:color="auto"/>
              </w:divBdr>
            </w:div>
            <w:div w:id="856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1736</Words>
  <Characters>10420</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520.2022 zał. 2 Postępowanie w sprawie nadania stopnia doktora habilitowanego w UMB</vt:lpstr>
    </vt:vector>
  </TitlesOfParts>
  <Company>Uniwesytet Medyczny w Bialymstoku</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520.2022 appx. 2 The procedure for conferring the Post-doctoral (habilitated doctor) degree at the MUB</dc:title>
  <dc:creator>UMB</dc:creator>
  <cp:lastModifiedBy>Emilia Snarska</cp:lastModifiedBy>
  <cp:revision>10</cp:revision>
  <cp:lastPrinted>2023-01-18T12:59:00Z</cp:lastPrinted>
  <dcterms:created xsi:type="dcterms:W3CDTF">2022-12-23T13:45:00Z</dcterms:created>
  <dcterms:modified xsi:type="dcterms:W3CDTF">2023-01-31T09:02:00Z</dcterms:modified>
</cp:coreProperties>
</file>