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7CA2A7E6" w:rsidR="00BF10CB" w:rsidRPr="001F4219" w:rsidRDefault="00AC4A46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2827CB">
        <w:rPr>
          <w:rFonts w:asciiTheme="minorHAnsi" w:hAnsiTheme="minorHAnsi" w:cstheme="minorHAnsi"/>
          <w:sz w:val="18"/>
          <w:szCs w:val="18"/>
        </w:rPr>
        <w:t>77</w:t>
      </w:r>
      <w:r w:rsidR="002827CB" w:rsidRPr="00543161">
        <w:rPr>
          <w:rFonts w:asciiTheme="minorHAnsi" w:hAnsiTheme="minorHAnsi" w:cstheme="minorHAnsi"/>
          <w:sz w:val="18"/>
          <w:szCs w:val="18"/>
        </w:rPr>
        <w:t>/202</w:t>
      </w:r>
      <w:r w:rsidR="002827CB">
        <w:rPr>
          <w:rFonts w:asciiTheme="minorHAnsi" w:hAnsiTheme="minorHAnsi" w:cstheme="minorHAnsi"/>
          <w:sz w:val="18"/>
          <w:szCs w:val="18"/>
        </w:rPr>
        <w:t>2</w:t>
      </w:r>
      <w:r w:rsidR="002827CB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2827CB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2827CB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2827CB">
        <w:rPr>
          <w:rFonts w:asciiTheme="minorHAnsi" w:hAnsiTheme="minorHAnsi" w:cstheme="minorHAnsi"/>
          <w:sz w:val="18"/>
          <w:szCs w:val="18"/>
        </w:rPr>
        <w:t>13.09.2022</w:t>
      </w:r>
      <w:r w:rsidR="002827CB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Paliatywnej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046118">
        <w:rPr>
          <w:rFonts w:asciiTheme="minorHAnsi" w:hAnsiTheme="minorHAnsi" w:cstheme="minorHAnsi"/>
        </w:rPr>
        <w:t xml:space="preserve"> i</w:t>
      </w:r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046118" w:rsidRPr="001F4219">
        <w:rPr>
          <w:rFonts w:asciiTheme="minorHAnsi" w:hAnsiTheme="minorHAnsi" w:cstheme="minorHAnsi"/>
        </w:rPr>
        <w:t>Radiofarmacji</w:t>
      </w:r>
      <w:proofErr w:type="spellEnd"/>
      <w:r w:rsidR="00046118" w:rsidRPr="001F4219">
        <w:rPr>
          <w:rFonts w:asciiTheme="minorHAnsi" w:hAnsiTheme="minorHAnsi" w:cstheme="minorHAnsi"/>
        </w:rPr>
        <w:t xml:space="preserve"> / </w:t>
      </w:r>
      <w:proofErr w:type="spellStart"/>
      <w:r w:rsidR="00046118" w:rsidRPr="001F4219">
        <w:rPr>
          <w:rFonts w:asciiTheme="minorHAnsi" w:hAnsiTheme="minorHAnsi" w:cstheme="minorHAnsi"/>
        </w:rPr>
        <w:t>Department</w:t>
      </w:r>
      <w:proofErr w:type="spellEnd"/>
      <w:r w:rsidR="00046118" w:rsidRPr="001F4219">
        <w:rPr>
          <w:rFonts w:asciiTheme="minorHAnsi" w:hAnsiTheme="minorHAnsi" w:cstheme="minorHAnsi"/>
        </w:rPr>
        <w:t xml:space="preserve"> of </w:t>
      </w:r>
      <w:proofErr w:type="spellStart"/>
      <w:r w:rsidR="00046118" w:rsidRPr="001F4219">
        <w:rPr>
          <w:rFonts w:asciiTheme="minorHAnsi" w:hAnsiTheme="minorHAnsi" w:cstheme="minorHAnsi"/>
        </w:rPr>
        <w:t>Biopharmacy</w:t>
      </w:r>
      <w:proofErr w:type="spellEnd"/>
      <w:r w:rsidR="00046118" w:rsidRPr="001F4219">
        <w:rPr>
          <w:rFonts w:asciiTheme="minorHAnsi" w:hAnsiTheme="minorHAnsi" w:cstheme="minorHAnsi"/>
        </w:rPr>
        <w:t xml:space="preserve"> </w:t>
      </w:r>
      <w:r w:rsidR="00046118">
        <w:rPr>
          <w:rFonts w:asciiTheme="minorHAnsi" w:hAnsiTheme="minorHAnsi" w:cstheme="minorHAnsi"/>
        </w:rPr>
        <w:t xml:space="preserve">and </w:t>
      </w:r>
      <w:proofErr w:type="spellStart"/>
      <w:r w:rsidR="00046118" w:rsidRPr="001F4219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046118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B31C9"/>
    <w:rsid w:val="003D6213"/>
    <w:rsid w:val="00406349"/>
    <w:rsid w:val="0041660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F670A"/>
    <w:rsid w:val="00703A3D"/>
    <w:rsid w:val="00757FC4"/>
    <w:rsid w:val="00766202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D3498E"/>
    <w:rsid w:val="00D917EF"/>
    <w:rsid w:val="00DB601D"/>
    <w:rsid w:val="00DD36F0"/>
    <w:rsid w:val="00E74893"/>
    <w:rsid w:val="00E774BE"/>
    <w:rsid w:val="00EE357E"/>
    <w:rsid w:val="00F06892"/>
    <w:rsid w:val="00F4651B"/>
    <w:rsid w:val="00F47676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2044</Words>
  <Characters>11695</Characters>
  <Application>Microsoft Office Word</Application>
  <DocSecurity>0</DocSecurity>
  <Lines>243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zał. 2 Wykaz jednostek organizacyjnych wydziałów</vt:lpstr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77.2022 zał. 2 Wykaz jednostek organizacyjnych wydziałów</dc:title>
  <dc:subject/>
  <dc:creator>Emilia Snarska</dc:creator>
  <cp:keywords/>
  <dc:description/>
  <cp:lastModifiedBy>Emilia Snarska</cp:lastModifiedBy>
  <cp:revision>6</cp:revision>
  <cp:lastPrinted>2022-09-13T10:00:00Z</cp:lastPrinted>
  <dcterms:created xsi:type="dcterms:W3CDTF">2022-09-12T09:06:00Z</dcterms:created>
  <dcterms:modified xsi:type="dcterms:W3CDTF">2022-09-20T12:40:00Z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