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24A7" w14:textId="77777777" w:rsidR="007D0B7D" w:rsidRDefault="0077416A">
      <w:pPr>
        <w:ind w:left="6237"/>
        <w:rPr>
          <w:sz w:val="20"/>
        </w:rPr>
      </w:pPr>
      <w:r>
        <w:rPr>
          <w:sz w:val="20"/>
        </w:rPr>
        <w:t>Appendix no. 1</w:t>
      </w:r>
    </w:p>
    <w:p w14:paraId="2E1600A6" w14:textId="77777777" w:rsidR="007D0B7D" w:rsidRDefault="0077416A">
      <w:pPr>
        <w:ind w:left="6237"/>
        <w:rPr>
          <w:sz w:val="20"/>
        </w:rPr>
      </w:pPr>
      <w:r>
        <w:rPr>
          <w:sz w:val="20"/>
        </w:rPr>
        <w:t>to the Order of the Rector of MUB</w:t>
      </w:r>
    </w:p>
    <w:p w14:paraId="1D239C06" w14:textId="77777777" w:rsidR="007D0B7D" w:rsidRDefault="0077416A">
      <w:pPr>
        <w:ind w:left="6237"/>
        <w:rPr>
          <w:sz w:val="20"/>
        </w:rPr>
      </w:pPr>
      <w:r>
        <w:rPr>
          <w:sz w:val="20"/>
        </w:rPr>
        <w:t>no. 69/2020 of 06.07.2020</w:t>
      </w:r>
    </w:p>
    <w:p w14:paraId="7A256319" w14:textId="77777777" w:rsidR="007D0B7D" w:rsidRDefault="007D0B7D">
      <w:pPr>
        <w:jc w:val="center"/>
        <w:rPr>
          <w:b/>
          <w:sz w:val="20"/>
        </w:rPr>
      </w:pPr>
    </w:p>
    <w:p w14:paraId="0757BCE2" w14:textId="77777777" w:rsidR="007D0B7D" w:rsidRDefault="007D0B7D">
      <w:pPr>
        <w:jc w:val="center"/>
        <w:rPr>
          <w:b/>
          <w:sz w:val="20"/>
        </w:rPr>
      </w:pPr>
    </w:p>
    <w:p w14:paraId="4BF5D4E3" w14:textId="77777777" w:rsidR="007D0B7D" w:rsidRDefault="0077416A">
      <w:pPr>
        <w:jc w:val="center"/>
        <w:rPr>
          <w:b/>
        </w:rPr>
      </w:pPr>
      <w:r>
        <w:rPr>
          <w:b/>
        </w:rPr>
        <w:t xml:space="preserve">Regulations on the awarding of doctoral scholarships </w:t>
      </w:r>
    </w:p>
    <w:p w14:paraId="30F4D771" w14:textId="77777777" w:rsidR="007D0B7D" w:rsidRDefault="0077416A">
      <w:pPr>
        <w:jc w:val="center"/>
        <w:rPr>
          <w:b/>
        </w:rPr>
      </w:pPr>
      <w:r>
        <w:rPr>
          <w:b/>
        </w:rPr>
        <w:t>at the Medical University of Bialystok</w:t>
      </w:r>
    </w:p>
    <w:p w14:paraId="3BF9CEC3" w14:textId="77777777" w:rsidR="007D0B7D" w:rsidRDefault="007D0B7D">
      <w:pPr>
        <w:jc w:val="both"/>
        <w:rPr>
          <w:b/>
        </w:rPr>
      </w:pPr>
    </w:p>
    <w:p w14:paraId="797DD7F7" w14:textId="77777777" w:rsidR="007D0B7D" w:rsidRDefault="007D0B7D">
      <w:pPr>
        <w:jc w:val="both"/>
        <w:rPr>
          <w:b/>
        </w:rPr>
      </w:pPr>
    </w:p>
    <w:p w14:paraId="6BD329B8" w14:textId="77777777" w:rsidR="007D0B7D" w:rsidRDefault="0077416A">
      <w:pPr>
        <w:spacing w:after="120"/>
        <w:jc w:val="center"/>
      </w:pPr>
      <w:r>
        <w:t>§ 1</w:t>
      </w:r>
    </w:p>
    <w:p w14:paraId="1EF475F3" w14:textId="7157C8FA" w:rsidR="007D0B7D" w:rsidRDefault="00C14D1E">
      <w:pPr>
        <w:numPr>
          <w:ilvl w:val="0"/>
          <w:numId w:val="6"/>
        </w:numPr>
        <w:autoSpaceDE w:val="0"/>
        <w:autoSpaceDN w:val="0"/>
        <w:adjustRightInd w:val="0"/>
        <w:ind w:left="357" w:hanging="357"/>
        <w:jc w:val="both"/>
      </w:pPr>
      <w:r>
        <w:t>D</w:t>
      </w:r>
      <w:r w:rsidR="0077416A">
        <w:t>octoral scholarship in the second year and subsequent years of study may be awarded to a doctoral student who implements his or her doctoral study program and individual doctoral study program in a timely manner and shows commitment to conducting or co-</w:t>
      </w:r>
      <w:r w:rsidR="0077416A">
        <w:t>conducting</w:t>
      </w:r>
      <w:r w:rsidR="0077416A">
        <w:rPr>
          <w:vertAlign w:val="superscript"/>
        </w:rPr>
        <w:t>*</w:t>
      </w:r>
      <w:r w:rsidR="0077416A">
        <w:t xml:space="preserve"> didactic classes in the amount set out in the program of study for a given academic year or involvement in the implementation of scientific research, conducted by the University organizational unit and in the academic year preceding the submiss</w:t>
      </w:r>
      <w:r w:rsidR="0077416A">
        <w:t>ion of the application for the award of a doctoral scholarship, and showed progress in scientific work and in the preparation of the doctoral dissertation.</w:t>
      </w:r>
    </w:p>
    <w:p w14:paraId="235DB9BB" w14:textId="77777777" w:rsidR="007D0B7D" w:rsidRDefault="0077416A">
      <w:pPr>
        <w:numPr>
          <w:ilvl w:val="0"/>
          <w:numId w:val="6"/>
        </w:numPr>
        <w:autoSpaceDE w:val="0"/>
        <w:autoSpaceDN w:val="0"/>
        <w:adjustRightInd w:val="0"/>
        <w:ind w:left="357" w:hanging="357"/>
        <w:jc w:val="both"/>
      </w:pPr>
      <w:r>
        <w:t xml:space="preserve">Doctoral scholarship cannot be awarded to a doctoral student who conditionally continues his or her </w:t>
      </w:r>
      <w:r>
        <w:t xml:space="preserve">studies in a given year (the so-called conditional pass). </w:t>
      </w:r>
    </w:p>
    <w:p w14:paraId="5DAAF53A" w14:textId="77777777" w:rsidR="007D0B7D" w:rsidRDefault="007D0B7D">
      <w:pPr>
        <w:pStyle w:val="Tekstpodstawowy"/>
        <w:rPr>
          <w:sz w:val="20"/>
        </w:rPr>
      </w:pPr>
    </w:p>
    <w:p w14:paraId="028E980D" w14:textId="77777777" w:rsidR="007D0B7D" w:rsidRDefault="0077416A">
      <w:pPr>
        <w:pStyle w:val="Tekstpodstawowy"/>
        <w:ind w:left="284"/>
        <w:rPr>
          <w:sz w:val="20"/>
        </w:rPr>
      </w:pPr>
      <w:r>
        <w:rPr>
          <w:sz w:val="20"/>
          <w:vertAlign w:val="superscript"/>
        </w:rPr>
        <w:t>*</w:t>
      </w:r>
      <w:r>
        <w:rPr>
          <w:sz w:val="20"/>
        </w:rPr>
        <w:t xml:space="preserve"> applies to doctoral students who, according to the Regulations of Doctoral Studies, have the right to </w:t>
      </w:r>
      <w:r>
        <w:t xml:space="preserve"> </w:t>
      </w:r>
    </w:p>
    <w:p w14:paraId="336BE65E" w14:textId="77777777" w:rsidR="007D0B7D" w:rsidRDefault="0077416A">
      <w:pPr>
        <w:pStyle w:val="Tekstpodstawowy"/>
        <w:ind w:left="794" w:hanging="794"/>
        <w:rPr>
          <w:sz w:val="20"/>
        </w:rPr>
      </w:pPr>
      <w:r>
        <w:rPr>
          <w:sz w:val="20"/>
        </w:rPr>
        <w:t>implement professional internships in the form of participation in conducting teaching cla</w:t>
      </w:r>
      <w:r>
        <w:rPr>
          <w:sz w:val="20"/>
        </w:rPr>
        <w:t>sses.</w:t>
      </w:r>
    </w:p>
    <w:p w14:paraId="4D716E1B" w14:textId="77777777" w:rsidR="007D0B7D" w:rsidRDefault="007D0B7D">
      <w:pPr>
        <w:pStyle w:val="Tekstpodstawowy"/>
        <w:spacing w:line="360" w:lineRule="auto"/>
      </w:pPr>
    </w:p>
    <w:p w14:paraId="1399D701" w14:textId="77777777" w:rsidR="007D0B7D" w:rsidRDefault="0077416A">
      <w:pPr>
        <w:pStyle w:val="Tekstpodstawowy"/>
        <w:spacing w:after="120"/>
        <w:jc w:val="center"/>
      </w:pPr>
      <w:r>
        <w:t>§ 2</w:t>
      </w:r>
    </w:p>
    <w:p w14:paraId="0FDA08FF" w14:textId="77777777" w:rsidR="007D0B7D" w:rsidRDefault="0077416A">
      <w:pPr>
        <w:pStyle w:val="Tekstpodstawowy"/>
        <w:numPr>
          <w:ilvl w:val="0"/>
          <w:numId w:val="2"/>
        </w:numPr>
        <w:tabs>
          <w:tab w:val="clear" w:pos="720"/>
          <w:tab w:val="num" w:pos="360"/>
        </w:tabs>
        <w:ind w:left="360"/>
      </w:pPr>
      <w:r>
        <w:t>Doctoral scholarship is granted on the application of a doctoral student, constituting Appendix 1 to these Regulations.</w:t>
      </w:r>
    </w:p>
    <w:p w14:paraId="3A97EAFD" w14:textId="07481394" w:rsidR="007D0B7D" w:rsidRDefault="0077416A">
      <w:pPr>
        <w:pStyle w:val="Tekstpodstawowy"/>
        <w:numPr>
          <w:ilvl w:val="0"/>
          <w:numId w:val="2"/>
        </w:numPr>
        <w:tabs>
          <w:tab w:val="clear" w:pos="720"/>
          <w:tab w:val="num" w:pos="360"/>
        </w:tabs>
        <w:ind w:left="360"/>
      </w:pPr>
      <w:r>
        <w:t>The application referred to in section 1, shall be submitted by a doctoral student to the head of doctoral studies by 20 Sept</w:t>
      </w:r>
      <w:r>
        <w:t xml:space="preserve">ember of </w:t>
      </w:r>
      <w:r w:rsidR="004E5681">
        <w:t>a</w:t>
      </w:r>
      <w:r>
        <w:t xml:space="preserve"> given year. An exception is doctoral students admitted to studies on the basis of a transfer from another university or scientific unit conducting doctoral studies who submit an application within a maximum of 5 days from the date of transfer,</w:t>
      </w:r>
      <w:r>
        <w:t xml:space="preserve"> as well as doctoral students who will submit a complete application for a doctoral scholarship by 15 July of the academic year preceding the academic year to which the application relates. </w:t>
      </w:r>
    </w:p>
    <w:p w14:paraId="711EC945" w14:textId="4CDE6EC0" w:rsidR="007D0B7D" w:rsidRDefault="0077416A">
      <w:pPr>
        <w:pStyle w:val="Tekstpodstawowy"/>
        <w:numPr>
          <w:ilvl w:val="0"/>
          <w:numId w:val="2"/>
        </w:numPr>
        <w:tabs>
          <w:tab w:val="clear" w:pos="720"/>
          <w:tab w:val="num" w:pos="360"/>
        </w:tabs>
        <w:ind w:left="360"/>
      </w:pPr>
      <w:r>
        <w:t>The Rector, within 14 days from the closing date of accepting applications (20 September of a given year), appoints Doctoral Commissions which recommend granting of doctoral scholarships at Faculties. Recommendations for applications submitted by 30 June w</w:t>
      </w:r>
      <w:r>
        <w:t xml:space="preserve">ill be made by the Doctoral Commissions operating at the Faculties, appointed for </w:t>
      </w:r>
      <w:r w:rsidR="00E902A6">
        <w:t>a</w:t>
      </w:r>
      <w:r>
        <w:t xml:space="preserve"> given academic year. </w:t>
      </w:r>
    </w:p>
    <w:p w14:paraId="451C4258" w14:textId="77777777" w:rsidR="007D0B7D" w:rsidRDefault="0077416A">
      <w:pPr>
        <w:pStyle w:val="Tekstpodstawowy"/>
        <w:numPr>
          <w:ilvl w:val="0"/>
          <w:numId w:val="2"/>
        </w:numPr>
        <w:tabs>
          <w:tab w:val="clear" w:pos="720"/>
          <w:tab w:val="num" w:pos="360"/>
        </w:tabs>
        <w:ind w:left="360"/>
      </w:pPr>
      <w:r>
        <w:t>The Faculty Doctoral Commission, hereinafter referred to as the "Commission", consists of: head of doctoral studies, who serves as chairman, two aca</w:t>
      </w:r>
      <w:r>
        <w:t>demic teachers employed at the faculty with at least the post-doctoral degree and a</w:t>
      </w:r>
      <w:r>
        <w:rPr>
          <w:rFonts w:ascii="Arial" w:hAnsi="Arial" w:cs="Arial"/>
          <w:sz w:val="20"/>
        </w:rPr>
        <w:t xml:space="preserve"> </w:t>
      </w:r>
      <w:r>
        <w:t xml:space="preserve">representative of the Doctoral Student Government. </w:t>
      </w:r>
    </w:p>
    <w:p w14:paraId="682A018F" w14:textId="5E3855DC" w:rsidR="007D0B7D" w:rsidRDefault="0077416A">
      <w:pPr>
        <w:pStyle w:val="Tekstpodstawowy"/>
        <w:numPr>
          <w:ilvl w:val="0"/>
          <w:numId w:val="2"/>
        </w:numPr>
        <w:tabs>
          <w:tab w:val="clear" w:pos="720"/>
          <w:tab w:val="num" w:pos="360"/>
        </w:tabs>
        <w:ind w:left="360"/>
      </w:pPr>
      <w:r>
        <w:t>After giving an opinion on the applications for a doctoral scholarship, the Commission provides the Rector with a list o</w:t>
      </w:r>
      <w:r>
        <w:t>f doctoral candidates whom they recommend to be awarded a scholarship</w:t>
      </w:r>
      <w:r>
        <w:rPr>
          <w:rFonts w:ascii="Arial" w:hAnsi="Arial" w:cs="Arial"/>
          <w:sz w:val="20"/>
        </w:rPr>
        <w:t>.</w:t>
      </w:r>
      <w:r>
        <w:t xml:space="preserve"> A complete and timely submitted application will be considered and </w:t>
      </w:r>
      <w:proofErr w:type="spellStart"/>
      <w:r>
        <w:t>opinioned</w:t>
      </w:r>
      <w:proofErr w:type="spellEnd"/>
      <w:r>
        <w:t xml:space="preserve"> by the Commission within 30 days of the closing date for submitting applications (i.e. 20 September of </w:t>
      </w:r>
      <w:r w:rsidR="004E5681">
        <w:t>a</w:t>
      </w:r>
      <w:r>
        <w:t xml:space="preserve"> </w:t>
      </w:r>
      <w:r>
        <w:t>given year). The applications of doctoral students accepted under the transfer procedure will be considered and evaluated by the Commission within 30 days from the date of submission.</w:t>
      </w:r>
    </w:p>
    <w:p w14:paraId="2E8AB1C1" w14:textId="77777777" w:rsidR="007D0B7D" w:rsidRDefault="0077416A">
      <w:pPr>
        <w:pStyle w:val="Tekstpodstawowy"/>
        <w:numPr>
          <w:ilvl w:val="0"/>
          <w:numId w:val="2"/>
        </w:numPr>
        <w:tabs>
          <w:tab w:val="clear" w:pos="720"/>
          <w:tab w:val="num" w:pos="360"/>
        </w:tabs>
        <w:ind w:left="360"/>
      </w:pPr>
      <w:r>
        <w:lastRenderedPageBreak/>
        <w:t>The decision on the doctoral scholarship is made by the Rector.</w:t>
      </w:r>
    </w:p>
    <w:p w14:paraId="19D1F4AF" w14:textId="77777777" w:rsidR="007D0B7D" w:rsidRDefault="0077416A">
      <w:pPr>
        <w:pStyle w:val="Tekstpodstawowy"/>
        <w:numPr>
          <w:ilvl w:val="0"/>
          <w:numId w:val="2"/>
        </w:numPr>
        <w:tabs>
          <w:tab w:val="clear" w:pos="720"/>
          <w:tab w:val="num" w:pos="360"/>
        </w:tabs>
        <w:ind w:left="360"/>
      </w:pPr>
      <w:r>
        <w:t>The deci</w:t>
      </w:r>
      <w:r>
        <w:t>sion on the award of a doctoral scholarship should specify the amount and period of receiving the scholarship by the doctoral student.</w:t>
      </w:r>
    </w:p>
    <w:p w14:paraId="26A4A090" w14:textId="77777777" w:rsidR="007D0B7D" w:rsidRDefault="007D0B7D">
      <w:pPr>
        <w:pStyle w:val="Tekstpodstawowy"/>
        <w:spacing w:line="360" w:lineRule="auto"/>
        <w:ind w:left="360"/>
      </w:pPr>
    </w:p>
    <w:p w14:paraId="14B076A1" w14:textId="77777777" w:rsidR="007D0B7D" w:rsidRDefault="0077416A">
      <w:pPr>
        <w:pStyle w:val="Tekstpodstawowy"/>
        <w:spacing w:after="120"/>
        <w:jc w:val="center"/>
      </w:pPr>
      <w:r>
        <w:t>§ 3</w:t>
      </w:r>
    </w:p>
    <w:p w14:paraId="50C3A873" w14:textId="77777777" w:rsidR="007D0B7D" w:rsidRDefault="0077416A">
      <w:pPr>
        <w:pStyle w:val="Tekstpodstawowy"/>
        <w:numPr>
          <w:ilvl w:val="0"/>
          <w:numId w:val="1"/>
        </w:numPr>
        <w:tabs>
          <w:tab w:val="clear" w:pos="720"/>
          <w:tab w:val="num" w:pos="360"/>
        </w:tabs>
        <w:ind w:left="360"/>
      </w:pPr>
      <w:r>
        <w:t>Doctoral scholarships are awarded in three categories:</w:t>
      </w:r>
    </w:p>
    <w:p w14:paraId="7D2212D3" w14:textId="77777777" w:rsidR="007D0B7D" w:rsidRDefault="0077416A">
      <w:pPr>
        <w:pStyle w:val="Akapitzlist"/>
        <w:numPr>
          <w:ilvl w:val="0"/>
          <w:numId w:val="11"/>
        </w:numPr>
        <w:autoSpaceDE w:val="0"/>
        <w:autoSpaceDN w:val="0"/>
        <w:adjustRightInd w:val="0"/>
        <w:spacing w:after="0" w:line="240" w:lineRule="auto"/>
        <w:jc w:val="both"/>
        <w:rPr>
          <w:rFonts w:ascii="Times New Roman" w:eastAsia="Times New Roman" w:hAnsi="Times New Roman"/>
          <w:sz w:val="24"/>
        </w:rPr>
      </w:pPr>
      <w:r>
        <w:rPr>
          <w:rFonts w:ascii="Times New Roman" w:eastAsia="Times New Roman" w:hAnsi="Times New Roman"/>
          <w:sz w:val="24"/>
        </w:rPr>
        <w:t>category A – includes doctoral students meeting the condition</w:t>
      </w:r>
      <w:r>
        <w:rPr>
          <w:rFonts w:ascii="Times New Roman" w:eastAsia="Times New Roman" w:hAnsi="Times New Roman"/>
          <w:sz w:val="24"/>
        </w:rPr>
        <w:t xml:space="preserve">s of §1 section 1, who do not meet the requirements set out in points 2) and 3); </w:t>
      </w:r>
    </w:p>
    <w:p w14:paraId="1F391AB2" w14:textId="77777777" w:rsidR="007D0B7D" w:rsidRDefault="0077416A">
      <w:pPr>
        <w:pStyle w:val="Akapitzlist"/>
        <w:numPr>
          <w:ilvl w:val="0"/>
          <w:numId w:val="11"/>
        </w:numPr>
        <w:autoSpaceDE w:val="0"/>
        <w:autoSpaceDN w:val="0"/>
        <w:adjustRightInd w:val="0"/>
        <w:spacing w:after="0" w:line="240" w:lineRule="auto"/>
        <w:jc w:val="both"/>
        <w:rPr>
          <w:rFonts w:ascii="Times New Roman" w:eastAsia="Times New Roman" w:hAnsi="Times New Roman"/>
          <w:sz w:val="24"/>
          <w:u w:val="single"/>
        </w:rPr>
      </w:pPr>
      <w:r>
        <w:rPr>
          <w:rFonts w:ascii="Times New Roman" w:eastAsia="Times New Roman" w:hAnsi="Times New Roman"/>
          <w:sz w:val="24"/>
        </w:rPr>
        <w:t xml:space="preserve">category B – includes doctoral students meeting the conditions of §1 section 1, who </w:t>
      </w:r>
    </w:p>
    <w:p w14:paraId="6CC1E3D2" w14:textId="77777777" w:rsidR="007D0B7D" w:rsidRDefault="0077416A">
      <w:pPr>
        <w:pStyle w:val="Akapitzlist"/>
        <w:numPr>
          <w:ilvl w:val="0"/>
          <w:numId w:val="13"/>
        </w:numPr>
        <w:autoSpaceDE w:val="0"/>
        <w:autoSpaceDN w:val="0"/>
        <w:adjustRightInd w:val="0"/>
        <w:spacing w:after="0" w:line="240" w:lineRule="auto"/>
        <w:ind w:left="1094" w:hanging="357"/>
        <w:jc w:val="both"/>
        <w:rPr>
          <w:rFonts w:ascii="Times New Roman" w:eastAsia="Times New Roman" w:hAnsi="Times New Roman"/>
          <w:sz w:val="24"/>
          <w:u w:val="single"/>
        </w:rPr>
      </w:pPr>
      <w:r>
        <w:rPr>
          <w:rFonts w:ascii="Times New Roman" w:eastAsia="Times New Roman" w:hAnsi="Times New Roman"/>
          <w:sz w:val="24"/>
        </w:rPr>
        <w:t>have a formal approval of start of a procedure for a doctoral degree or initiated proceed</w:t>
      </w:r>
      <w:r>
        <w:rPr>
          <w:rFonts w:ascii="Times New Roman" w:eastAsia="Times New Roman" w:hAnsi="Times New Roman"/>
          <w:sz w:val="24"/>
        </w:rPr>
        <w:t>ings for awarding a doctoral degree, or</w:t>
      </w:r>
      <w:r>
        <w:rPr>
          <w:rFonts w:ascii="Times New Roman" w:eastAsia="Times New Roman" w:hAnsi="Times New Roman"/>
          <w:sz w:val="24"/>
          <w:u w:val="single"/>
        </w:rPr>
        <w:t xml:space="preserve"> </w:t>
      </w:r>
      <w:r>
        <w:rPr>
          <w:rFonts w:ascii="Times New Roman" w:eastAsia="Times New Roman" w:hAnsi="Times New Roman"/>
          <w:sz w:val="24"/>
        </w:rPr>
        <w:t xml:space="preserve"> </w:t>
      </w:r>
    </w:p>
    <w:p w14:paraId="654DE23A" w14:textId="77777777" w:rsidR="007D0B7D" w:rsidRDefault="0077416A">
      <w:pPr>
        <w:pStyle w:val="Akapitzlist"/>
        <w:numPr>
          <w:ilvl w:val="0"/>
          <w:numId w:val="13"/>
        </w:numPr>
        <w:autoSpaceDE w:val="0"/>
        <w:autoSpaceDN w:val="0"/>
        <w:adjustRightInd w:val="0"/>
        <w:spacing w:after="0" w:line="240" w:lineRule="auto"/>
        <w:ind w:left="1094" w:hanging="357"/>
        <w:jc w:val="both"/>
        <w:rPr>
          <w:rFonts w:ascii="Times New Roman" w:eastAsia="Times New Roman" w:hAnsi="Times New Roman"/>
          <w:sz w:val="24"/>
        </w:rPr>
      </w:pPr>
      <w:r>
        <w:rPr>
          <w:rFonts w:ascii="Times New Roman" w:eastAsia="Times New Roman" w:hAnsi="Times New Roman"/>
          <w:sz w:val="24"/>
        </w:rPr>
        <w:t>obtained a research grant (as manager), or obtained funding from other external sources, in particular from NAWA, the Polish-American Fulbright Commission, the Foundation for Polish Science, for conducting research</w:t>
      </w:r>
      <w:r>
        <w:rPr>
          <w:rFonts w:ascii="Times New Roman" w:eastAsia="Times New Roman" w:hAnsi="Times New Roman"/>
          <w:sz w:val="24"/>
        </w:rPr>
        <w:t xml:space="preserve"> at MUB or at a foreign unit for a period of not less than 3 months, or </w:t>
      </w:r>
    </w:p>
    <w:p w14:paraId="77ECBD7C" w14:textId="77777777" w:rsidR="007D0B7D" w:rsidRDefault="0077416A">
      <w:pPr>
        <w:pStyle w:val="Akapitzlist"/>
        <w:numPr>
          <w:ilvl w:val="0"/>
          <w:numId w:val="13"/>
        </w:numPr>
        <w:autoSpaceDE w:val="0"/>
        <w:autoSpaceDN w:val="0"/>
        <w:adjustRightInd w:val="0"/>
        <w:spacing w:after="0" w:line="240" w:lineRule="auto"/>
        <w:ind w:left="1094" w:hanging="357"/>
        <w:jc w:val="both"/>
        <w:rPr>
          <w:rFonts w:ascii="Times New Roman" w:eastAsia="Times New Roman" w:hAnsi="Times New Roman"/>
          <w:sz w:val="24"/>
        </w:rPr>
      </w:pPr>
      <w:r>
        <w:rPr>
          <w:rFonts w:ascii="Times New Roman" w:eastAsia="Times New Roman" w:hAnsi="Times New Roman"/>
          <w:sz w:val="24"/>
        </w:rPr>
        <w:t>have at least 1 scientific article published in a scientific journal with a score of at least 70 points on the basis of the current, as at the date of submitting the application, list</w:t>
      </w:r>
      <w:r>
        <w:rPr>
          <w:rFonts w:ascii="Times New Roman" w:eastAsia="Times New Roman" w:hAnsi="Times New Roman"/>
          <w:sz w:val="24"/>
        </w:rPr>
        <w:t xml:space="preserve"> of ranked journals of the Ministry of Science and Higher Education. </w:t>
      </w:r>
    </w:p>
    <w:p w14:paraId="502E25E6" w14:textId="6E94E60A" w:rsidR="007D0B7D" w:rsidRDefault="0077416A">
      <w:pPr>
        <w:pStyle w:val="Akapitzlist"/>
        <w:autoSpaceDE w:val="0"/>
        <w:autoSpaceDN w:val="0"/>
        <w:adjustRightInd w:val="0"/>
        <w:spacing w:after="0" w:line="240" w:lineRule="auto"/>
        <w:ind w:left="567" w:hanging="283"/>
        <w:jc w:val="both"/>
        <w:rPr>
          <w:rFonts w:ascii="Times New Roman" w:eastAsia="Times New Roman" w:hAnsi="Times New Roman"/>
          <w:strike/>
          <w:sz w:val="24"/>
        </w:rPr>
      </w:pPr>
      <w:r>
        <w:rPr>
          <w:rFonts w:ascii="Times New Roman" w:eastAsia="Times New Roman" w:hAnsi="Times New Roman"/>
          <w:sz w:val="24"/>
        </w:rPr>
        <w:t>3) category C – includes doctoral students meeting the conditions of §1 section 1, who have a formal approval of start of a procedure for a doctoral degree</w:t>
      </w:r>
      <w:r>
        <w:rPr>
          <w:rFonts w:ascii="Times New Roman" w:hAnsi="Times New Roman"/>
        </w:rPr>
        <w:t xml:space="preserve"> or initiated proceedings for granting a doctoral degree</w:t>
      </w:r>
      <w:r>
        <w:rPr>
          <w:rFonts w:ascii="Times New Roman" w:eastAsia="Times New Roman" w:hAnsi="Times New Roman"/>
          <w:color w:val="0070C0"/>
          <w:sz w:val="24"/>
        </w:rPr>
        <w:t xml:space="preserve"> </w:t>
      </w:r>
      <w:r>
        <w:rPr>
          <w:rFonts w:ascii="Times New Roman" w:eastAsia="Times New Roman" w:hAnsi="Times New Roman"/>
          <w:sz w:val="24"/>
        </w:rPr>
        <w:t>and meet at least one of the requirements set out in point 2 letters b) and c).</w:t>
      </w:r>
      <w:r>
        <w:t xml:space="preserve"> </w:t>
      </w:r>
    </w:p>
    <w:p w14:paraId="1570B91B" w14:textId="77777777" w:rsidR="007D0B7D" w:rsidRDefault="0077416A">
      <w:pPr>
        <w:pStyle w:val="Tekstpodstawowy"/>
        <w:numPr>
          <w:ilvl w:val="0"/>
          <w:numId w:val="1"/>
        </w:numPr>
        <w:tabs>
          <w:tab w:val="clear" w:pos="720"/>
        </w:tabs>
        <w:ind w:left="426" w:hanging="426"/>
      </w:pPr>
      <w:r>
        <w:t>Changing the scholarship category may take place at the request of a doctoral student during the academic year, starting from the next month from the date of the initiation of the procedure for a doctoral degree or obtaining (date of signing the agreement)</w:t>
      </w:r>
      <w:r>
        <w:t xml:space="preserve"> </w:t>
      </w:r>
      <w:r>
        <w:rPr>
          <w:color w:val="171717" w:themeColor="background2" w:themeShade="1A"/>
        </w:rPr>
        <w:t xml:space="preserve"> a research grant or financing referred to in section 1 point 2 letter b) or </w:t>
      </w:r>
      <w:r>
        <w:t>publication of an article in a scientific journal with a score of at least 70 points on the basis of the current, as at the date of submitting the application, list of ranked jou</w:t>
      </w:r>
      <w:r>
        <w:t>rnals of the Ministry of Science and Higher Education. Application for a change of the category of doctoral scholarship constitutes Appendix no. 2 to these Regulations.</w:t>
      </w:r>
    </w:p>
    <w:p w14:paraId="2079FE67" w14:textId="77777777" w:rsidR="007D0B7D" w:rsidRDefault="0077416A">
      <w:pPr>
        <w:pStyle w:val="Tekstpodstawowy"/>
        <w:numPr>
          <w:ilvl w:val="0"/>
          <w:numId w:val="1"/>
        </w:numPr>
        <w:tabs>
          <w:tab w:val="clear" w:pos="720"/>
          <w:tab w:val="num" w:pos="360"/>
        </w:tabs>
        <w:ind w:left="360"/>
      </w:pPr>
      <w:r>
        <w:t>The amount of the scholarship in categories A, B and C may not be lower than 60% of the</w:t>
      </w:r>
      <w:r>
        <w:t xml:space="preserve"> minimum basic salary of an assistant, determined in the provisions on remuneration of academic teachers.</w:t>
      </w:r>
    </w:p>
    <w:p w14:paraId="032174BD" w14:textId="77777777" w:rsidR="007D0B7D" w:rsidRDefault="0077416A">
      <w:pPr>
        <w:pStyle w:val="Tekstpodstawowy"/>
        <w:numPr>
          <w:ilvl w:val="0"/>
          <w:numId w:val="1"/>
        </w:numPr>
        <w:tabs>
          <w:tab w:val="clear" w:pos="720"/>
          <w:tab w:val="num" w:pos="360"/>
        </w:tabs>
        <w:ind w:left="360"/>
      </w:pPr>
      <w:r>
        <w:t>The amount of the scholarship in individual categories is determined by the Rector's Order.</w:t>
      </w:r>
    </w:p>
    <w:p w14:paraId="3588166E" w14:textId="77777777" w:rsidR="007D0B7D" w:rsidRDefault="007D0B7D">
      <w:pPr>
        <w:pStyle w:val="Tekstpodstawowy"/>
        <w:spacing w:line="360" w:lineRule="auto"/>
        <w:ind w:left="360"/>
      </w:pPr>
    </w:p>
    <w:p w14:paraId="40D15467" w14:textId="77777777" w:rsidR="007D0B7D" w:rsidRDefault="0077416A">
      <w:pPr>
        <w:pStyle w:val="Tekstpodstawowy"/>
        <w:spacing w:after="120"/>
        <w:jc w:val="center"/>
      </w:pPr>
      <w:r>
        <w:t xml:space="preserve">§ 4 </w:t>
      </w:r>
    </w:p>
    <w:p w14:paraId="399FC71D" w14:textId="77777777" w:rsidR="007D0B7D" w:rsidRDefault="0077416A">
      <w:pPr>
        <w:pStyle w:val="Tekstpodstawowy"/>
        <w:numPr>
          <w:ilvl w:val="0"/>
          <w:numId w:val="4"/>
        </w:numPr>
        <w:tabs>
          <w:tab w:val="num" w:pos="360"/>
        </w:tabs>
        <w:ind w:left="360"/>
      </w:pPr>
      <w:r>
        <w:t>Doctoral scholarship is granted for a period of 12 m</w:t>
      </w:r>
      <w:r>
        <w:t>onths from 1 October to 30 September of a given academic year.</w:t>
      </w:r>
    </w:p>
    <w:p w14:paraId="41A67941" w14:textId="77777777" w:rsidR="007D0B7D" w:rsidRDefault="0077416A">
      <w:pPr>
        <w:pStyle w:val="Tekstpodstawowy"/>
        <w:numPr>
          <w:ilvl w:val="0"/>
          <w:numId w:val="4"/>
        </w:numPr>
        <w:tabs>
          <w:tab w:val="num" w:pos="360"/>
        </w:tabs>
        <w:ind w:left="360"/>
        <w:rPr>
          <w:strike/>
        </w:rPr>
      </w:pPr>
      <w:r>
        <w:t>The scholarship is paid at the beginning of each month, by transfer to the bank account indicated by the doctoral student, while the scholarship for October is paid at the beginning of November</w:t>
      </w:r>
      <w:r>
        <w:t xml:space="preserve"> together with the scholarship for November. In the case of doctoral students who submit complete applications for a doctoral scholarship by </w:t>
      </w:r>
      <w:r>
        <w:rPr>
          <w:color w:val="0D0D0D" w:themeColor="text1" w:themeTint="F2"/>
        </w:rPr>
        <w:t xml:space="preserve">15 July </w:t>
      </w:r>
      <w:r>
        <w:t xml:space="preserve">of the academic year preceding the academic year to which the application relates, if the applications are </w:t>
      </w:r>
      <w:r>
        <w:t>approved, the scholarship for October will be paid by 15 October.</w:t>
      </w:r>
    </w:p>
    <w:p w14:paraId="2A8684A9" w14:textId="77777777" w:rsidR="007D0B7D" w:rsidRDefault="0077416A">
      <w:pPr>
        <w:pStyle w:val="Tekstpodstawowy"/>
        <w:numPr>
          <w:ilvl w:val="0"/>
          <w:numId w:val="4"/>
        </w:numPr>
        <w:tabs>
          <w:tab w:val="num" w:pos="360"/>
        </w:tabs>
        <w:ind w:left="360"/>
      </w:pPr>
      <w:r>
        <w:t>Payment of the scholarship is also continued during the period of justified absence of the doctoral student, but not longer than for the period for which the scholarship was granted.</w:t>
      </w:r>
    </w:p>
    <w:p w14:paraId="059C1D44" w14:textId="77777777" w:rsidR="007D0B7D" w:rsidRDefault="0077416A">
      <w:pPr>
        <w:pStyle w:val="Tekstpodstawowy"/>
        <w:numPr>
          <w:ilvl w:val="0"/>
          <w:numId w:val="4"/>
        </w:numPr>
        <w:tabs>
          <w:tab w:val="num" w:pos="360"/>
        </w:tabs>
        <w:ind w:left="360"/>
      </w:pPr>
      <w:r>
        <w:lastRenderedPageBreak/>
        <w:t xml:space="preserve">In the </w:t>
      </w:r>
      <w:r>
        <w:t>case of referring a doctoral student abroad, resulting from the implementation of an individual study program, for a period exceeding 6 months, the Rector decides to pay or suspend the payment of the doctoral scholarship.</w:t>
      </w:r>
    </w:p>
    <w:p w14:paraId="511B7353" w14:textId="77777777" w:rsidR="007D0B7D" w:rsidRDefault="0077416A">
      <w:pPr>
        <w:pStyle w:val="Tekstpodstawowy"/>
        <w:numPr>
          <w:ilvl w:val="0"/>
          <w:numId w:val="4"/>
        </w:numPr>
        <w:tabs>
          <w:tab w:val="num" w:pos="360"/>
        </w:tabs>
        <w:ind w:left="360"/>
      </w:pPr>
      <w:r>
        <w:t>Doctoral student may also submit a</w:t>
      </w:r>
      <w:r>
        <w:t xml:space="preserve">n application for an increase of the doctoral scholarship from the earmarked subsidy for co-financing pro-quality tasks, which is granted by the Rector, after receiving an opinion from the Commission and provided that the University obtained a subsidy for </w:t>
      </w:r>
      <w:r>
        <w:t>pro-quality tasks.</w:t>
      </w:r>
    </w:p>
    <w:p w14:paraId="252404C8" w14:textId="77777777" w:rsidR="007D0B7D" w:rsidRDefault="0077416A">
      <w:pPr>
        <w:pStyle w:val="Tekstpodstawowy"/>
        <w:numPr>
          <w:ilvl w:val="0"/>
          <w:numId w:val="4"/>
        </w:numPr>
        <w:tabs>
          <w:tab w:val="num" w:pos="360"/>
        </w:tabs>
        <w:ind w:left="360"/>
        <w:rPr>
          <w:strike/>
        </w:rPr>
      </w:pPr>
      <w:r>
        <w:t xml:space="preserve">The application referred to in section 5, opinionated by the research supervisor/advisor, is submitted through the head of doctoral studies. The application should contain substantive justification for outstanding research achievements. </w:t>
      </w:r>
    </w:p>
    <w:p w14:paraId="71D82706" w14:textId="77777777" w:rsidR="007D0B7D" w:rsidRDefault="007D0B7D">
      <w:pPr>
        <w:pStyle w:val="Tekstpodstawowy"/>
        <w:spacing w:line="360" w:lineRule="auto"/>
      </w:pPr>
    </w:p>
    <w:p w14:paraId="0C5DFE21" w14:textId="77777777" w:rsidR="007D0B7D" w:rsidRDefault="0077416A">
      <w:pPr>
        <w:pStyle w:val="Tekstpodstawowy"/>
        <w:spacing w:after="120"/>
        <w:jc w:val="center"/>
      </w:pPr>
      <w:r>
        <w:t>§ 5</w:t>
      </w:r>
    </w:p>
    <w:p w14:paraId="0CEAEFAA" w14:textId="77777777" w:rsidR="007D0B7D" w:rsidRDefault="0077416A">
      <w:pPr>
        <w:pStyle w:val="Tekstpodstawowy"/>
        <w:numPr>
          <w:ilvl w:val="0"/>
          <w:numId w:val="3"/>
        </w:numPr>
        <w:tabs>
          <w:tab w:val="clear" w:pos="720"/>
          <w:tab w:val="num" w:pos="360"/>
        </w:tabs>
        <w:ind w:left="360"/>
      </w:pPr>
      <w:r>
        <w:t>Doctoral student loses the right to receive a doctoral scholarship in the event of graduation or removal from the list of doctoral students.</w:t>
      </w:r>
    </w:p>
    <w:p w14:paraId="2BF8FEA9" w14:textId="77777777" w:rsidR="007D0B7D" w:rsidRDefault="0077416A">
      <w:pPr>
        <w:pStyle w:val="Tekstpodstawowy"/>
        <w:numPr>
          <w:ilvl w:val="0"/>
          <w:numId w:val="3"/>
        </w:numPr>
        <w:tabs>
          <w:tab w:val="clear" w:pos="720"/>
          <w:tab w:val="num" w:pos="360"/>
        </w:tabs>
        <w:ind w:left="360"/>
      </w:pPr>
      <w:r>
        <w:t xml:space="preserve">Doctoral student receiving doctoral scholarship, who graduated in a shorter time than specified in the study </w:t>
      </w:r>
      <w:r>
        <w:t>program and whose doctoral dissertation was evaluated as outstanding, shall be paid, in a single payment, the financial resources in the amount of scholarship received each month multiplied by the number of months which the period of completion of doctoral</w:t>
      </w:r>
      <w:r>
        <w:t xml:space="preserve"> studies was shortened by, but not more than 6 months. </w:t>
      </w:r>
    </w:p>
    <w:p w14:paraId="0A4E7230" w14:textId="77777777" w:rsidR="007D0B7D" w:rsidRDefault="0077416A">
      <w:pPr>
        <w:pStyle w:val="Tekstpodstawowy"/>
        <w:numPr>
          <w:ilvl w:val="0"/>
          <w:numId w:val="3"/>
        </w:numPr>
        <w:tabs>
          <w:tab w:val="clear" w:pos="720"/>
          <w:tab w:val="num" w:pos="360"/>
        </w:tabs>
        <w:ind w:left="360"/>
      </w:pPr>
      <w:r>
        <w:t>In case of removing the doctoral student from the list of doctoral students, the payment of the doctoral scholarship shall cease on the first day of the month following the month in which the decision</w:t>
      </w:r>
      <w:r>
        <w:t xml:space="preserve"> on deletion became final.</w:t>
      </w:r>
    </w:p>
    <w:p w14:paraId="7E7F5847" w14:textId="77777777" w:rsidR="007D0B7D" w:rsidRDefault="007D0B7D">
      <w:pPr>
        <w:pStyle w:val="Tekstpodstawowy"/>
        <w:spacing w:line="360" w:lineRule="auto"/>
      </w:pPr>
    </w:p>
    <w:p w14:paraId="766A8883" w14:textId="77777777" w:rsidR="007D0B7D" w:rsidRDefault="0077416A">
      <w:pPr>
        <w:pStyle w:val="Tekstpodstawowy"/>
        <w:spacing w:after="120"/>
        <w:jc w:val="center"/>
      </w:pPr>
      <w:r>
        <w:t>§ 6</w:t>
      </w:r>
    </w:p>
    <w:p w14:paraId="7003F901" w14:textId="77777777" w:rsidR="007D0B7D" w:rsidRDefault="0077416A">
      <w:pPr>
        <w:pStyle w:val="Tekstpodstawowy"/>
      </w:pPr>
      <w:r>
        <w:t>The Regulations come into force on the day of their adoption.</w:t>
      </w:r>
    </w:p>
    <w:p w14:paraId="63749F76" w14:textId="77777777" w:rsidR="007D0B7D" w:rsidRDefault="007D0B7D">
      <w:pPr>
        <w:pStyle w:val="Tekstpodstawowy"/>
      </w:pPr>
    </w:p>
    <w:p w14:paraId="0C1654B3" w14:textId="77777777" w:rsidR="007D0B7D" w:rsidRDefault="0077416A">
      <w:pPr>
        <w:pStyle w:val="Tekstpodstawowy"/>
        <w:ind w:left="1068"/>
      </w:pPr>
      <w:r>
        <w:t xml:space="preserve">    </w:t>
      </w:r>
      <w:r>
        <w:tab/>
      </w:r>
      <w:r>
        <w:tab/>
      </w:r>
      <w:r>
        <w:tab/>
      </w:r>
      <w:r>
        <w:tab/>
      </w:r>
      <w:r>
        <w:tab/>
      </w:r>
    </w:p>
    <w:p w14:paraId="4FBC20E8" w14:textId="77777777" w:rsidR="007D0B7D" w:rsidRDefault="0077416A">
      <w:pPr>
        <w:spacing w:line="360" w:lineRule="auto"/>
        <w:ind w:left="5387"/>
        <w:jc w:val="center"/>
      </w:pPr>
      <w:r>
        <w:t>Rector</w:t>
      </w:r>
    </w:p>
    <w:p w14:paraId="7F4741DD" w14:textId="77777777" w:rsidR="007D0B7D" w:rsidRDefault="007D0B7D">
      <w:pPr>
        <w:spacing w:line="360" w:lineRule="auto"/>
        <w:ind w:left="5387"/>
        <w:jc w:val="center"/>
      </w:pPr>
    </w:p>
    <w:p w14:paraId="6BB6B677" w14:textId="77777777" w:rsidR="007D0B7D" w:rsidRDefault="0077416A">
      <w:pPr>
        <w:spacing w:line="360" w:lineRule="auto"/>
        <w:ind w:left="5387"/>
        <w:jc w:val="center"/>
      </w:pPr>
      <w:r>
        <w:t xml:space="preserve">prof. </w:t>
      </w:r>
      <w:proofErr w:type="spellStart"/>
      <w:r>
        <w:t>dr</w:t>
      </w:r>
      <w:proofErr w:type="spellEnd"/>
      <w:r>
        <w:t xml:space="preserve"> hab. Adam </w:t>
      </w:r>
      <w:proofErr w:type="spellStart"/>
      <w:r>
        <w:t>Krętowski</w:t>
      </w:r>
      <w:proofErr w:type="spellEnd"/>
    </w:p>
    <w:p w14:paraId="5B82E4BF" w14:textId="77777777" w:rsidR="007D0B7D" w:rsidRDefault="0077416A">
      <w:pPr>
        <w:pStyle w:val="Tekstpodstawowy"/>
        <w:ind w:left="1068"/>
      </w:pPr>
      <w:r>
        <w:tab/>
        <w:t xml:space="preserve"> </w:t>
      </w:r>
      <w:r>
        <w:tab/>
        <w:t xml:space="preserve">                    </w:t>
      </w:r>
    </w:p>
    <w:sectPr w:rsidR="007D0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F2903" w14:textId="77777777" w:rsidR="0077416A" w:rsidRDefault="0077416A">
      <w:r>
        <w:separator/>
      </w:r>
    </w:p>
  </w:endnote>
  <w:endnote w:type="continuationSeparator" w:id="0">
    <w:p w14:paraId="0583A01A" w14:textId="77777777" w:rsidR="0077416A" w:rsidRDefault="0077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8B41" w14:textId="77777777" w:rsidR="0077416A" w:rsidRDefault="0077416A">
      <w:r>
        <w:separator/>
      </w:r>
    </w:p>
  </w:footnote>
  <w:footnote w:type="continuationSeparator" w:id="0">
    <w:p w14:paraId="0A02DDD8" w14:textId="77777777" w:rsidR="0077416A" w:rsidRDefault="0077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67F81"/>
    <w:multiLevelType w:val="hybridMultilevel"/>
    <w:tmpl w:val="F894DC0E"/>
    <w:lvl w:ilvl="0" w:tplc="6E1EE69E">
      <w:start w:val="1"/>
      <w:numFmt w:val="decimal"/>
      <w:lvlText w:val="%1)"/>
      <w:lvlJc w:val="left"/>
      <w:pPr>
        <w:ind w:left="644"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 w15:restartNumberingAfterBreak="0">
    <w:nsid w:val="35583CA5"/>
    <w:multiLevelType w:val="hybridMultilevel"/>
    <w:tmpl w:val="E654C1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0C210CE"/>
    <w:multiLevelType w:val="multilevel"/>
    <w:tmpl w:val="6AAA588A"/>
    <w:lvl w:ilvl="0">
      <w:start w:val="1"/>
      <w:numFmt w:val="decimal"/>
      <w:lvlText w:val="%1."/>
      <w:lvlJc w:val="left"/>
      <w:pPr>
        <w:tabs>
          <w:tab w:val="num" w:pos="644"/>
        </w:tabs>
        <w:ind w:left="644" w:hanging="360"/>
      </w:pPr>
      <w:rPr>
        <w:rFonts w:hint="default"/>
        <w:strike w:val="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4E931B5C"/>
    <w:multiLevelType w:val="hybridMultilevel"/>
    <w:tmpl w:val="6E24BD0C"/>
    <w:lvl w:ilvl="0" w:tplc="0AB8B6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B16D17"/>
    <w:multiLevelType w:val="hybridMultilevel"/>
    <w:tmpl w:val="C120633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4FEE1F0D"/>
    <w:multiLevelType w:val="hybridMultilevel"/>
    <w:tmpl w:val="E69A6900"/>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B33F85"/>
    <w:multiLevelType w:val="hybridMultilevel"/>
    <w:tmpl w:val="28C0AB92"/>
    <w:lvl w:ilvl="0" w:tplc="B41C49B6">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BB41DB"/>
    <w:multiLevelType w:val="hybridMultilevel"/>
    <w:tmpl w:val="9CBA260E"/>
    <w:lvl w:ilvl="0" w:tplc="594057E2">
      <w:start w:val="1"/>
      <w:numFmt w:val="decimal"/>
      <w:lvlText w:val="%1."/>
      <w:lvlJc w:val="left"/>
      <w:pPr>
        <w:ind w:left="502" w:hanging="360"/>
      </w:pPr>
      <w:rPr>
        <w:rFonts w:ascii="Times New Roman" w:eastAsia="Calibri" w:hAnsi="Times New Roman" w:cs="Times New Roman"/>
        <w:color w:val="auto"/>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 w15:restartNumberingAfterBreak="0">
    <w:nsid w:val="65DA2215"/>
    <w:multiLevelType w:val="hybridMultilevel"/>
    <w:tmpl w:val="762E43F6"/>
    <w:lvl w:ilvl="0" w:tplc="0415000F">
      <w:start w:val="1"/>
      <w:numFmt w:val="decimal"/>
      <w:lvlText w:val="%1."/>
      <w:lvlJc w:val="left"/>
      <w:pPr>
        <w:tabs>
          <w:tab w:val="num" w:pos="720"/>
        </w:tabs>
        <w:ind w:left="720" w:hanging="360"/>
      </w:pPr>
      <w:rPr>
        <w:rFonts w:hint="default"/>
      </w:rPr>
    </w:lvl>
    <w:lvl w:ilvl="1" w:tplc="D8969160">
      <w:start w:val="1"/>
      <w:numFmt w:val="bullet"/>
      <w:lvlText w:val="-"/>
      <w:lvlJc w:val="left"/>
      <w:pPr>
        <w:tabs>
          <w:tab w:val="num" w:pos="1440"/>
        </w:tabs>
        <w:ind w:left="1440" w:hanging="360"/>
      </w:pPr>
      <w:rPr>
        <w:rFonts w:ascii="Times New Roman" w:eastAsia="Times New Roman" w:hAnsi="Times New Roman" w:cs="Times New Roman" w:hint="default"/>
      </w:rPr>
    </w:lvl>
    <w:lvl w:ilvl="2" w:tplc="93384C0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8AE2267"/>
    <w:multiLevelType w:val="hybridMultilevel"/>
    <w:tmpl w:val="351E4E5C"/>
    <w:lvl w:ilvl="0" w:tplc="B276E3A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7E1831D6"/>
    <w:multiLevelType w:val="hybridMultilevel"/>
    <w:tmpl w:val="0616BC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E6A6D8A"/>
    <w:multiLevelType w:val="hybridMultilevel"/>
    <w:tmpl w:val="7BF849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F721F19"/>
    <w:multiLevelType w:val="hybridMultilevel"/>
    <w:tmpl w:val="6456BF7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
  </w:num>
  <w:num w:numId="4">
    <w:abstractNumId w:val="2"/>
  </w:num>
  <w:num w:numId="5">
    <w:abstractNumId w:val="12"/>
  </w:num>
  <w:num w:numId="6">
    <w:abstractNumId w:val="5"/>
  </w:num>
  <w:num w:numId="7">
    <w:abstractNumId w:val="7"/>
  </w:num>
  <w:num w:numId="8">
    <w:abstractNumId w:val="6"/>
  </w:num>
  <w:num w:numId="9">
    <w:abstractNumId w:val="10"/>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12"/>
    <w:rsid w:val="0001173B"/>
    <w:rsid w:val="00026895"/>
    <w:rsid w:val="00063CBE"/>
    <w:rsid w:val="000668FD"/>
    <w:rsid w:val="000A011A"/>
    <w:rsid w:val="000A342D"/>
    <w:rsid w:val="000A3CF2"/>
    <w:rsid w:val="000D475D"/>
    <w:rsid w:val="000E66C0"/>
    <w:rsid w:val="000E66D0"/>
    <w:rsid w:val="000F5CF8"/>
    <w:rsid w:val="000F6DFA"/>
    <w:rsid w:val="00103EBB"/>
    <w:rsid w:val="00156FB7"/>
    <w:rsid w:val="00167408"/>
    <w:rsid w:val="0019079C"/>
    <w:rsid w:val="0019171D"/>
    <w:rsid w:val="001963E9"/>
    <w:rsid w:val="00197230"/>
    <w:rsid w:val="001A2CCB"/>
    <w:rsid w:val="001C3D49"/>
    <w:rsid w:val="001C41B4"/>
    <w:rsid w:val="001E2E96"/>
    <w:rsid w:val="001E6E7A"/>
    <w:rsid w:val="001F0FE9"/>
    <w:rsid w:val="001F3B5C"/>
    <w:rsid w:val="00202EA0"/>
    <w:rsid w:val="002312D7"/>
    <w:rsid w:val="00231F0B"/>
    <w:rsid w:val="00234FC2"/>
    <w:rsid w:val="00237967"/>
    <w:rsid w:val="002420BD"/>
    <w:rsid w:val="00251DE2"/>
    <w:rsid w:val="00261349"/>
    <w:rsid w:val="002731B3"/>
    <w:rsid w:val="002A0B3F"/>
    <w:rsid w:val="002A793D"/>
    <w:rsid w:val="002B7869"/>
    <w:rsid w:val="002C1B6B"/>
    <w:rsid w:val="002D1F9B"/>
    <w:rsid w:val="002D2218"/>
    <w:rsid w:val="002D5F33"/>
    <w:rsid w:val="002E26D2"/>
    <w:rsid w:val="002E33C1"/>
    <w:rsid w:val="002E5098"/>
    <w:rsid w:val="002E706D"/>
    <w:rsid w:val="002F4719"/>
    <w:rsid w:val="00301FB0"/>
    <w:rsid w:val="00313956"/>
    <w:rsid w:val="00321E55"/>
    <w:rsid w:val="00325A95"/>
    <w:rsid w:val="003337FA"/>
    <w:rsid w:val="00335907"/>
    <w:rsid w:val="00342D35"/>
    <w:rsid w:val="0036169C"/>
    <w:rsid w:val="00392AD7"/>
    <w:rsid w:val="003B3D50"/>
    <w:rsid w:val="003D6974"/>
    <w:rsid w:val="00400453"/>
    <w:rsid w:val="004026BD"/>
    <w:rsid w:val="00404201"/>
    <w:rsid w:val="00413B8E"/>
    <w:rsid w:val="00414E27"/>
    <w:rsid w:val="00415E80"/>
    <w:rsid w:val="0041691B"/>
    <w:rsid w:val="00425C91"/>
    <w:rsid w:val="00425D4D"/>
    <w:rsid w:val="004354A8"/>
    <w:rsid w:val="0048681E"/>
    <w:rsid w:val="004A2CF8"/>
    <w:rsid w:val="004B5C12"/>
    <w:rsid w:val="004D0A05"/>
    <w:rsid w:val="004E5681"/>
    <w:rsid w:val="00512590"/>
    <w:rsid w:val="00516FDF"/>
    <w:rsid w:val="00543EBA"/>
    <w:rsid w:val="00546383"/>
    <w:rsid w:val="00550A73"/>
    <w:rsid w:val="00572175"/>
    <w:rsid w:val="00575DAB"/>
    <w:rsid w:val="00583DF2"/>
    <w:rsid w:val="005A591E"/>
    <w:rsid w:val="005C75FD"/>
    <w:rsid w:val="005D4BC3"/>
    <w:rsid w:val="005E0864"/>
    <w:rsid w:val="005F1F44"/>
    <w:rsid w:val="00601BFC"/>
    <w:rsid w:val="00601E7D"/>
    <w:rsid w:val="006045BC"/>
    <w:rsid w:val="0060750C"/>
    <w:rsid w:val="006110A4"/>
    <w:rsid w:val="00621235"/>
    <w:rsid w:val="006229E1"/>
    <w:rsid w:val="00624C3E"/>
    <w:rsid w:val="00630F64"/>
    <w:rsid w:val="00644608"/>
    <w:rsid w:val="00660681"/>
    <w:rsid w:val="00664D66"/>
    <w:rsid w:val="006661F4"/>
    <w:rsid w:val="00674CDF"/>
    <w:rsid w:val="0067638F"/>
    <w:rsid w:val="00682A26"/>
    <w:rsid w:val="006B1A67"/>
    <w:rsid w:val="006C24BA"/>
    <w:rsid w:val="006E089C"/>
    <w:rsid w:val="006E4427"/>
    <w:rsid w:val="006F0463"/>
    <w:rsid w:val="006F2473"/>
    <w:rsid w:val="00711038"/>
    <w:rsid w:val="00716D39"/>
    <w:rsid w:val="007355EF"/>
    <w:rsid w:val="007367E8"/>
    <w:rsid w:val="00741199"/>
    <w:rsid w:val="0075061B"/>
    <w:rsid w:val="0075475B"/>
    <w:rsid w:val="00757849"/>
    <w:rsid w:val="00766148"/>
    <w:rsid w:val="0077416A"/>
    <w:rsid w:val="00783CA4"/>
    <w:rsid w:val="00784E78"/>
    <w:rsid w:val="00791E4E"/>
    <w:rsid w:val="007A3C87"/>
    <w:rsid w:val="007C4446"/>
    <w:rsid w:val="007C774E"/>
    <w:rsid w:val="007D0B7D"/>
    <w:rsid w:val="007E4E48"/>
    <w:rsid w:val="007E6C5A"/>
    <w:rsid w:val="00810258"/>
    <w:rsid w:val="0081386C"/>
    <w:rsid w:val="00815315"/>
    <w:rsid w:val="0083541C"/>
    <w:rsid w:val="008372E4"/>
    <w:rsid w:val="00857365"/>
    <w:rsid w:val="00881A38"/>
    <w:rsid w:val="00886184"/>
    <w:rsid w:val="008B3D14"/>
    <w:rsid w:val="008B7730"/>
    <w:rsid w:val="008D6C00"/>
    <w:rsid w:val="008E44BF"/>
    <w:rsid w:val="008E4A7B"/>
    <w:rsid w:val="008F3798"/>
    <w:rsid w:val="008F4BAE"/>
    <w:rsid w:val="008F4D38"/>
    <w:rsid w:val="008F7BBB"/>
    <w:rsid w:val="00900250"/>
    <w:rsid w:val="0091725F"/>
    <w:rsid w:val="009175E9"/>
    <w:rsid w:val="00924F26"/>
    <w:rsid w:val="009573D3"/>
    <w:rsid w:val="00966F0D"/>
    <w:rsid w:val="009B6DE0"/>
    <w:rsid w:val="009D3700"/>
    <w:rsid w:val="009D37ED"/>
    <w:rsid w:val="009D5009"/>
    <w:rsid w:val="009D5370"/>
    <w:rsid w:val="009E2097"/>
    <w:rsid w:val="00A22A66"/>
    <w:rsid w:val="00A25544"/>
    <w:rsid w:val="00A25DDD"/>
    <w:rsid w:val="00A30799"/>
    <w:rsid w:val="00A50951"/>
    <w:rsid w:val="00A57E09"/>
    <w:rsid w:val="00A65E6C"/>
    <w:rsid w:val="00A723A4"/>
    <w:rsid w:val="00A9580F"/>
    <w:rsid w:val="00A96381"/>
    <w:rsid w:val="00A9698E"/>
    <w:rsid w:val="00AA2914"/>
    <w:rsid w:val="00AA4E6D"/>
    <w:rsid w:val="00AA536A"/>
    <w:rsid w:val="00AA6521"/>
    <w:rsid w:val="00AC2016"/>
    <w:rsid w:val="00AC7212"/>
    <w:rsid w:val="00AD785E"/>
    <w:rsid w:val="00AD79C0"/>
    <w:rsid w:val="00AE424B"/>
    <w:rsid w:val="00AF067B"/>
    <w:rsid w:val="00AF089B"/>
    <w:rsid w:val="00AF576A"/>
    <w:rsid w:val="00B1566A"/>
    <w:rsid w:val="00B32F69"/>
    <w:rsid w:val="00B437D8"/>
    <w:rsid w:val="00B501A9"/>
    <w:rsid w:val="00B54C59"/>
    <w:rsid w:val="00B66DF0"/>
    <w:rsid w:val="00B85123"/>
    <w:rsid w:val="00B85DA4"/>
    <w:rsid w:val="00B949DE"/>
    <w:rsid w:val="00BB2C28"/>
    <w:rsid w:val="00BC41DD"/>
    <w:rsid w:val="00BD542C"/>
    <w:rsid w:val="00BF398B"/>
    <w:rsid w:val="00BF6CE8"/>
    <w:rsid w:val="00C11EBA"/>
    <w:rsid w:val="00C14D1E"/>
    <w:rsid w:val="00C46997"/>
    <w:rsid w:val="00C54D64"/>
    <w:rsid w:val="00C5577B"/>
    <w:rsid w:val="00C8108F"/>
    <w:rsid w:val="00C82513"/>
    <w:rsid w:val="00C85402"/>
    <w:rsid w:val="00C908B9"/>
    <w:rsid w:val="00CA1979"/>
    <w:rsid w:val="00CA2F02"/>
    <w:rsid w:val="00CB5AB1"/>
    <w:rsid w:val="00CC14AB"/>
    <w:rsid w:val="00CC48A3"/>
    <w:rsid w:val="00CC7630"/>
    <w:rsid w:val="00CD76DB"/>
    <w:rsid w:val="00D051CC"/>
    <w:rsid w:val="00D12CBA"/>
    <w:rsid w:val="00D20B9B"/>
    <w:rsid w:val="00D3506D"/>
    <w:rsid w:val="00D55587"/>
    <w:rsid w:val="00D635B3"/>
    <w:rsid w:val="00D63A59"/>
    <w:rsid w:val="00D66A94"/>
    <w:rsid w:val="00D671D4"/>
    <w:rsid w:val="00D761A2"/>
    <w:rsid w:val="00DB3626"/>
    <w:rsid w:val="00DC4526"/>
    <w:rsid w:val="00DE6C3E"/>
    <w:rsid w:val="00DF0D55"/>
    <w:rsid w:val="00DF5FA1"/>
    <w:rsid w:val="00DF755E"/>
    <w:rsid w:val="00E11DC2"/>
    <w:rsid w:val="00E264A9"/>
    <w:rsid w:val="00E2666F"/>
    <w:rsid w:val="00E30F47"/>
    <w:rsid w:val="00E334C5"/>
    <w:rsid w:val="00E65BA6"/>
    <w:rsid w:val="00E83715"/>
    <w:rsid w:val="00E902A6"/>
    <w:rsid w:val="00EA0361"/>
    <w:rsid w:val="00EA0820"/>
    <w:rsid w:val="00EA3C62"/>
    <w:rsid w:val="00EC04F3"/>
    <w:rsid w:val="00EC3CE4"/>
    <w:rsid w:val="00ED4799"/>
    <w:rsid w:val="00EF5ED2"/>
    <w:rsid w:val="00F23292"/>
    <w:rsid w:val="00F261E2"/>
    <w:rsid w:val="00F4724C"/>
    <w:rsid w:val="00F600A1"/>
    <w:rsid w:val="00F621B4"/>
    <w:rsid w:val="00F67131"/>
    <w:rsid w:val="00F7388B"/>
    <w:rsid w:val="00F7636F"/>
    <w:rsid w:val="00F90764"/>
    <w:rsid w:val="00F91029"/>
    <w:rsid w:val="00FF26A9"/>
    <w:rsid w:val="00FF3AA0"/>
    <w:rsid w:val="00FF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E6528"/>
  <w15:docId w15:val="{99B2AB5B-9FA3-471E-ABC0-D9C91A54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7212"/>
    <w:rPr>
      <w:sz w:val="24"/>
      <w:szCs w:val="24"/>
    </w:rPr>
  </w:style>
  <w:style w:type="paragraph" w:styleId="Nagwek1">
    <w:name w:val="heading 1"/>
    <w:basedOn w:val="Normalny"/>
    <w:next w:val="Normalny"/>
    <w:link w:val="Nagwek1Znak"/>
    <w:uiPriority w:val="99"/>
    <w:qFormat/>
    <w:rsid w:val="005F1F44"/>
    <w:pPr>
      <w:keepNext/>
      <w:jc w:val="center"/>
      <w:outlineLvl w:val="0"/>
    </w:pPr>
    <w:rPr>
      <w:b/>
      <w:bCs/>
      <w:sz w:val="28"/>
    </w:rPr>
  </w:style>
  <w:style w:type="paragraph" w:styleId="Nagwek2">
    <w:name w:val="heading 2"/>
    <w:basedOn w:val="Normalny"/>
    <w:next w:val="Normalny"/>
    <w:link w:val="Nagwek2Znak"/>
    <w:uiPriority w:val="99"/>
    <w:qFormat/>
    <w:rsid w:val="005F1F44"/>
    <w:pPr>
      <w:keepNext/>
      <w:ind w:left="2832" w:firstLine="708"/>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AC7212"/>
    <w:pPr>
      <w:spacing w:before="100" w:beforeAutospacing="1" w:after="100" w:afterAutospacing="1"/>
    </w:pPr>
  </w:style>
  <w:style w:type="character" w:styleId="Pogrubienie">
    <w:name w:val="Strong"/>
    <w:qFormat/>
    <w:rsid w:val="00AC7212"/>
    <w:rPr>
      <w:b/>
      <w:bCs/>
    </w:rPr>
  </w:style>
  <w:style w:type="paragraph" w:styleId="Tekstpodstawowy">
    <w:name w:val="Body Text"/>
    <w:basedOn w:val="Normalny"/>
    <w:link w:val="TekstpodstawowyZnak"/>
    <w:rsid w:val="00156FB7"/>
    <w:pPr>
      <w:jc w:val="both"/>
    </w:pPr>
  </w:style>
  <w:style w:type="character" w:styleId="Odwoaniedokomentarza">
    <w:name w:val="annotation reference"/>
    <w:semiHidden/>
    <w:rsid w:val="0048681E"/>
    <w:rPr>
      <w:sz w:val="16"/>
      <w:szCs w:val="16"/>
    </w:rPr>
  </w:style>
  <w:style w:type="paragraph" w:styleId="Tekstkomentarza">
    <w:name w:val="annotation text"/>
    <w:basedOn w:val="Normalny"/>
    <w:semiHidden/>
    <w:rsid w:val="0048681E"/>
    <w:rPr>
      <w:sz w:val="20"/>
      <w:szCs w:val="20"/>
    </w:rPr>
  </w:style>
  <w:style w:type="paragraph" w:styleId="Tematkomentarza">
    <w:name w:val="annotation subject"/>
    <w:basedOn w:val="Tekstkomentarza"/>
    <w:next w:val="Tekstkomentarza"/>
    <w:semiHidden/>
    <w:rsid w:val="0048681E"/>
    <w:rPr>
      <w:b/>
      <w:bCs/>
    </w:rPr>
  </w:style>
  <w:style w:type="paragraph" w:styleId="Tekstdymka">
    <w:name w:val="Balloon Text"/>
    <w:basedOn w:val="Normalny"/>
    <w:semiHidden/>
    <w:rsid w:val="0048681E"/>
    <w:rPr>
      <w:rFonts w:ascii="Tahoma" w:hAnsi="Tahoma" w:cs="Tahoma"/>
      <w:sz w:val="16"/>
      <w:szCs w:val="16"/>
    </w:rPr>
  </w:style>
  <w:style w:type="paragraph" w:styleId="Akapitzlist">
    <w:name w:val="List Paragraph"/>
    <w:basedOn w:val="Normalny"/>
    <w:uiPriority w:val="34"/>
    <w:qFormat/>
    <w:rsid w:val="00EA0361"/>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AD79C0"/>
    <w:rPr>
      <w:sz w:val="24"/>
      <w:szCs w:val="24"/>
    </w:rPr>
  </w:style>
  <w:style w:type="character" w:customStyle="1" w:styleId="Nagwek1Znak">
    <w:name w:val="Nagłówek 1 Znak"/>
    <w:link w:val="Nagwek1"/>
    <w:uiPriority w:val="99"/>
    <w:rsid w:val="005F1F44"/>
    <w:rPr>
      <w:b/>
      <w:bCs/>
      <w:sz w:val="28"/>
      <w:szCs w:val="24"/>
    </w:rPr>
  </w:style>
  <w:style w:type="character" w:customStyle="1" w:styleId="Nagwek2Znak">
    <w:name w:val="Nagłówek 2 Znak"/>
    <w:link w:val="Nagwek2"/>
    <w:uiPriority w:val="99"/>
    <w:rsid w:val="005F1F44"/>
    <w:rPr>
      <w:b/>
      <w:bCs/>
      <w:sz w:val="24"/>
      <w:szCs w:val="24"/>
    </w:rPr>
  </w:style>
  <w:style w:type="paragraph" w:styleId="Tekstpodstawowy2">
    <w:name w:val="Body Text 2"/>
    <w:basedOn w:val="Normalny"/>
    <w:link w:val="Tekstpodstawowy2Znak"/>
    <w:uiPriority w:val="99"/>
    <w:rsid w:val="005F1F44"/>
    <w:pPr>
      <w:spacing w:after="120" w:line="480" w:lineRule="auto"/>
    </w:pPr>
  </w:style>
  <w:style w:type="character" w:customStyle="1" w:styleId="Tekstpodstawowy2Znak">
    <w:name w:val="Tekst podstawowy 2 Znak"/>
    <w:link w:val="Tekstpodstawowy2"/>
    <w:uiPriority w:val="99"/>
    <w:rsid w:val="005F1F44"/>
    <w:rPr>
      <w:sz w:val="24"/>
      <w:szCs w:val="24"/>
    </w:rPr>
  </w:style>
  <w:style w:type="paragraph" w:styleId="Tekstpodstawowywcity2">
    <w:name w:val="Body Text Indent 2"/>
    <w:basedOn w:val="Normalny"/>
    <w:link w:val="Tekstpodstawowywcity2Znak"/>
    <w:rsid w:val="001F3B5C"/>
    <w:pPr>
      <w:spacing w:after="120" w:line="480" w:lineRule="auto"/>
      <w:ind w:left="283"/>
    </w:pPr>
  </w:style>
  <w:style w:type="character" w:customStyle="1" w:styleId="Tekstpodstawowywcity2Znak">
    <w:name w:val="Tekst podstawowy wcięty 2 Znak"/>
    <w:link w:val="Tekstpodstawowywcity2"/>
    <w:rsid w:val="001F3B5C"/>
    <w:rPr>
      <w:sz w:val="24"/>
      <w:szCs w:val="24"/>
    </w:rPr>
  </w:style>
  <w:style w:type="paragraph" w:styleId="Poprawka">
    <w:name w:val="Revision"/>
    <w:hidden/>
    <w:uiPriority w:val="99"/>
    <w:semiHidden/>
    <w:rsid w:val="00783C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EA49-C812-4E38-92F2-C5D61317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1150</Words>
  <Characters>6905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Zarządzenie Nr 20/12</vt:lpstr>
    </vt:vector>
  </TitlesOfParts>
  <Company>Akademia Medyczna Bialystok</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20/12</dc:title>
  <dc:creator>Sekcja Kontroli</dc:creator>
  <cp:lastModifiedBy>Michał Dobrowolski</cp:lastModifiedBy>
  <cp:revision>9</cp:revision>
  <cp:lastPrinted>2020-06-30T13:17:00Z</cp:lastPrinted>
  <dcterms:created xsi:type="dcterms:W3CDTF">2020-07-06T10:18:00Z</dcterms:created>
  <dcterms:modified xsi:type="dcterms:W3CDTF">2020-07-11T08:26:00Z</dcterms:modified>
</cp:coreProperties>
</file>