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19" w:rsidRPr="009E6868" w:rsidRDefault="00D4504D" w:rsidP="008A6E8C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Uchwała nr 53</w:t>
      </w:r>
      <w:bookmarkStart w:id="0" w:name="_GoBack"/>
      <w:bookmarkEnd w:id="0"/>
      <w:r w:rsidR="00B32919" w:rsidRPr="009E6868">
        <w:rPr>
          <w:rFonts w:cs="Times New Roman"/>
          <w:b/>
          <w:sz w:val="22"/>
        </w:rPr>
        <w:t>/2018</w:t>
      </w:r>
    </w:p>
    <w:p w:rsidR="00B32919" w:rsidRPr="009E6868" w:rsidRDefault="00B32919" w:rsidP="008A6E8C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 w:rsidRPr="009E6868">
        <w:rPr>
          <w:rFonts w:cs="Times New Roman"/>
          <w:b/>
          <w:sz w:val="22"/>
        </w:rPr>
        <w:t>Senatu Uniwersytetu Medycznego w Białymstoku</w:t>
      </w:r>
    </w:p>
    <w:p w:rsidR="002547EC" w:rsidRPr="009E6868" w:rsidRDefault="00804856" w:rsidP="008A6E8C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 w:rsidRPr="009E6868">
        <w:rPr>
          <w:rFonts w:cs="Times New Roman"/>
          <w:b/>
          <w:sz w:val="22"/>
        </w:rPr>
        <w:t>z dnia 23 maja 2018</w:t>
      </w:r>
      <w:r w:rsidR="002547EC" w:rsidRPr="009E6868">
        <w:rPr>
          <w:rFonts w:cs="Times New Roman"/>
          <w:b/>
          <w:sz w:val="22"/>
        </w:rPr>
        <w:t xml:space="preserve"> r.</w:t>
      </w:r>
    </w:p>
    <w:p w:rsidR="002547EC" w:rsidRPr="009E6868" w:rsidRDefault="00C30FDC" w:rsidP="00D55BE6">
      <w:pPr>
        <w:jc w:val="center"/>
        <w:rPr>
          <w:rFonts w:ascii="Times New Roman" w:hAnsi="Times New Roman" w:cs="Times New Roman"/>
          <w:b/>
          <w:bCs/>
        </w:rPr>
      </w:pPr>
      <w:r w:rsidRPr="009E6868">
        <w:rPr>
          <w:rFonts w:ascii="Times New Roman" w:hAnsi="Times New Roman" w:cs="Times New Roman"/>
          <w:b/>
        </w:rPr>
        <w:t>w sprawie</w:t>
      </w:r>
      <w:r w:rsidR="002547EC" w:rsidRPr="009E6868">
        <w:rPr>
          <w:rFonts w:ascii="Times New Roman" w:hAnsi="Times New Roman" w:cs="Times New Roman"/>
          <w:b/>
        </w:rPr>
        <w:t xml:space="preserve"> ustalenia warunków i trybu przyjęć na studia anglojęzyczne na kierunku</w:t>
      </w:r>
      <w:r w:rsidR="00804856" w:rsidRPr="009E6868">
        <w:rPr>
          <w:rFonts w:ascii="Times New Roman" w:hAnsi="Times New Roman" w:cs="Times New Roman"/>
          <w:b/>
        </w:rPr>
        <w:t xml:space="preserve"> Farmacja </w:t>
      </w:r>
      <w:r w:rsidR="00D55BE6" w:rsidRPr="009E6868">
        <w:rPr>
          <w:rFonts w:ascii="Times New Roman" w:hAnsi="Times New Roman" w:cs="Times New Roman"/>
          <w:b/>
        </w:rPr>
        <w:br/>
      </w:r>
      <w:r w:rsidR="00804856" w:rsidRPr="009E6868">
        <w:rPr>
          <w:rFonts w:ascii="Times New Roman" w:hAnsi="Times New Roman" w:cs="Times New Roman"/>
          <w:b/>
        </w:rPr>
        <w:t>na rok akademicki 2019/2020</w:t>
      </w:r>
      <w:r w:rsidR="002547EC" w:rsidRPr="009E6868">
        <w:rPr>
          <w:rFonts w:ascii="Times New Roman" w:hAnsi="Times New Roman" w:cs="Times New Roman"/>
          <w:b/>
        </w:rPr>
        <w:t xml:space="preserve"> na Wydziale Farmaceutycznym </w:t>
      </w:r>
      <w:r w:rsidR="00D55BE6" w:rsidRPr="009E6868">
        <w:rPr>
          <w:rFonts w:ascii="Times New Roman" w:hAnsi="Times New Roman" w:cs="Times New Roman"/>
          <w:b/>
        </w:rPr>
        <w:br/>
      </w:r>
      <w:r w:rsidR="002547EC" w:rsidRPr="009E6868">
        <w:rPr>
          <w:rFonts w:ascii="Times New Roman" w:hAnsi="Times New Roman" w:cs="Times New Roman"/>
          <w:b/>
        </w:rPr>
        <w:t>z Oddziałem Medycyny Laboratoryjnej Uniwersytetu Medycznego w Białymstoku.</w:t>
      </w:r>
    </w:p>
    <w:p w:rsidR="00766481" w:rsidRPr="009E6868" w:rsidRDefault="00766481" w:rsidP="0076648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 xml:space="preserve">Na podstawie art. 169 ustawy z dnia 27 lipca 2005 r. Prawo o szkolnictwie wyższym </w:t>
      </w:r>
      <w:r w:rsidR="008A6E8C" w:rsidRPr="009E6868">
        <w:rPr>
          <w:rFonts w:ascii="Times New Roman" w:hAnsi="Times New Roman" w:cs="Times New Roman"/>
        </w:rPr>
        <w:t>uchwal</w:t>
      </w:r>
      <w:r w:rsidRPr="009E6868">
        <w:rPr>
          <w:rFonts w:ascii="Times New Roman" w:hAnsi="Times New Roman" w:cs="Times New Roman"/>
        </w:rPr>
        <w:t>a się</w:t>
      </w:r>
      <w:r w:rsidR="008A6E8C" w:rsidRPr="009E6868">
        <w:rPr>
          <w:rFonts w:ascii="Times New Roman" w:hAnsi="Times New Roman" w:cs="Times New Roman"/>
        </w:rPr>
        <w:t>,</w:t>
      </w:r>
      <w:r w:rsidRPr="009E6868">
        <w:rPr>
          <w:rFonts w:ascii="Times New Roman" w:hAnsi="Times New Roman" w:cs="Times New Roman"/>
        </w:rPr>
        <w:t xml:space="preserve"> co następuje:</w:t>
      </w:r>
    </w:p>
    <w:p w:rsidR="00766481" w:rsidRPr="009E6868" w:rsidRDefault="00766481" w:rsidP="009C761C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9C761C" w:rsidRPr="009E6868" w:rsidRDefault="009C761C" w:rsidP="008A6E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686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Rekrutację na 5,5-letnie</w:t>
      </w:r>
      <w:r w:rsidR="00A53519" w:rsidRPr="009E6868">
        <w:rPr>
          <w:rFonts w:ascii="Times New Roman" w:eastAsia="Times New Roman" w:hAnsi="Times New Roman" w:cs="Times New Roman"/>
          <w:lang w:eastAsia="pl-PL"/>
        </w:rPr>
        <w:t xml:space="preserve"> jednolite magisterskie, stacjonarne studia anglojęzyczne na kierunku Farmacja 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Wydziału Farmaceutycznego z Oddziałem Medycyny Laboratoryjnej Uniwersytetu Medycznego w Białymstoku przeprowadza Wydziałowa Komisja Kwalifikacyjna ds. Studiów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 Języku Angielskim, zwana dalej „Komisją”.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skład Komisji wchodzi: Dziekan Wydziału Farmaceutycznego z Oddziałem Medycyny Laboratoryjnej, jako Przewodniczący, Prodziekan Wydziału Farmaceutycznego z Oddziałem Medycyny Laboratoryjnej – Sekretarz, oraz czterech członków</w:t>
      </w:r>
      <w:r w:rsidR="00B32919" w:rsidRPr="009E6868">
        <w:rPr>
          <w:rFonts w:ascii="Times New Roman" w:eastAsia="Times New Roman" w:hAnsi="Times New Roman" w:cs="Times New Roman"/>
          <w:lang w:eastAsia="pl-PL"/>
        </w:rPr>
        <w:t xml:space="preserve"> wskazanych przez Radę Wydziału.</w:t>
      </w:r>
    </w:p>
    <w:p w:rsidR="00C82A98" w:rsidRPr="009E6868" w:rsidRDefault="009C761C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hAnsi="Times New Roman" w:cs="Times New Roman"/>
          <w:lang w:eastAsia="pl-PL"/>
        </w:rPr>
        <w:t>Skład Komisji oraz Regulamin Komisji zatwierdza Rada Wydziału</w:t>
      </w:r>
      <w:r w:rsidR="00FB1139" w:rsidRPr="009E6868">
        <w:rPr>
          <w:rFonts w:ascii="Times New Roman" w:hAnsi="Times New Roman" w:cs="Times New Roman"/>
          <w:lang w:eastAsia="pl-PL"/>
        </w:rPr>
        <w:t>.</w:t>
      </w:r>
    </w:p>
    <w:p w:rsidR="00FB1139" w:rsidRPr="009E6868" w:rsidRDefault="00FB1139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przypadku zgłoszenia się kandydata zamieszkałego poza obszarem działania Agencji bezpośrednio do Uczelni, kwalifikacji wstępnej dokonuje Komisja. Kandydat ma możliwość bezpośredniego aplikowania na Uczelnię, z pominięciem Agencji, również w przypadku zamieszkania na obszarze jej działania.</w:t>
      </w:r>
    </w:p>
    <w:p w:rsidR="00FB1139" w:rsidRPr="009E6868" w:rsidRDefault="00FB1139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 kandydatów z krajów pozyskanych przez Agencje rekrutacyjne wstępnej kwalifikacji dokonuje, na podstawie zawartej umowy o współpracy, Agencja, która przedkłada Komisji,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o której mowa w ust. 1, dokumentację wstępnie zakwalifikowanych kandydatów, celem przeprowadzenia przez Komisję postępowania kwalifikacyjnego. W przypadku niewyczerpania limitu miejsc możliwa jest uzupełniająca rekrutacja, zgodnie z warunkami niniejszej uchwały.</w:t>
      </w:r>
    </w:p>
    <w:p w:rsidR="00B5072C" w:rsidRPr="009E6868" w:rsidRDefault="00B5072C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Zgodnie z umową o współpracy, o której mowa w ust. 5 niniejszego paragrafu, informacja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o warunkach przyjęcia na studia, przekazywana jest kandydatom bezpośrednio przez Agencję,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a ponadto opublikowana jest w mediach kierowanych do studentów z zagranicy (strona internetowa, foldery, informatory i inne źródła), z których potencjalni kandydaci również spoza obszarów działania Agencji mogą uzyskać informacje dotyczące warunków studiów anglojęzycznych </w:t>
      </w:r>
      <w:r w:rsid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 Uniwersytecie Medycznym w Białymstoku.</w:t>
      </w:r>
    </w:p>
    <w:p w:rsidR="00FB1139" w:rsidRPr="009E6868" w:rsidRDefault="00FB1139" w:rsidP="008A6E8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Ustala się 4 odrębne okresy rekrutacyjne. Miejsca niewykorzystane w danym okresie rekrutacyjnym przechodzą na kolejny okres.</w:t>
      </w:r>
    </w:p>
    <w:p w:rsidR="00FB1139" w:rsidRPr="009E6868" w:rsidRDefault="00B756FA" w:rsidP="008A6E8C">
      <w:pPr>
        <w:tabs>
          <w:tab w:val="left" w:pos="-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 I okres od 4</w:t>
      </w:r>
      <w:r w:rsidR="002A78AD" w:rsidRPr="009E6868">
        <w:rPr>
          <w:rFonts w:ascii="Times New Roman" w:eastAsia="Times New Roman" w:hAnsi="Times New Roman" w:cs="Times New Roman"/>
          <w:lang w:eastAsia="pl-PL"/>
        </w:rPr>
        <w:t xml:space="preserve"> lutego do 8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 xml:space="preserve"> kwietnia </w:t>
      </w:r>
    </w:p>
    <w:p w:rsidR="00FB1139" w:rsidRPr="009E6868" w:rsidRDefault="002A78AD" w:rsidP="008A6E8C">
      <w:pPr>
        <w:tabs>
          <w:tab w:val="left" w:pos="-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II okres od 9 kwietnia do 10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 xml:space="preserve"> czerwca</w:t>
      </w:r>
    </w:p>
    <w:p w:rsidR="00FB1139" w:rsidRPr="009E6868" w:rsidRDefault="002A78AD" w:rsidP="008A6E8C">
      <w:pPr>
        <w:tabs>
          <w:tab w:val="left" w:pos="-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III okres od 11 czerwca do 22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 xml:space="preserve"> lipca</w:t>
      </w:r>
    </w:p>
    <w:p w:rsidR="00FB1139" w:rsidRPr="009E6868" w:rsidRDefault="002A78AD" w:rsidP="008A6E8C">
      <w:pPr>
        <w:tabs>
          <w:tab w:val="left" w:pos="-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IV okres od 23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 xml:space="preserve"> lipca do 16 sierpnia</w:t>
      </w:r>
    </w:p>
    <w:p w:rsidR="00FB1139" w:rsidRPr="009E6868" w:rsidRDefault="00FB1139" w:rsidP="008A6E8C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przypadku niewyczerpania limitu miejsc możliwa jest uzupełniająca rekrutacj</w:t>
      </w:r>
      <w:r w:rsidR="00804856" w:rsidRPr="009E6868">
        <w:rPr>
          <w:rFonts w:ascii="Times New Roman" w:eastAsia="Times New Roman" w:hAnsi="Times New Roman" w:cs="Times New Roman"/>
          <w:lang w:eastAsia="pl-PL"/>
        </w:rPr>
        <w:t xml:space="preserve">a prowadzona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br/>
      </w:r>
      <w:r w:rsidR="00804856" w:rsidRPr="009E6868">
        <w:rPr>
          <w:rFonts w:ascii="Times New Roman" w:eastAsia="Times New Roman" w:hAnsi="Times New Roman" w:cs="Times New Roman"/>
          <w:lang w:eastAsia="pl-PL"/>
        </w:rPr>
        <w:t>do 31 września 2019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Studia w języku angielskim są odpłatne, a warunkiem ich rozpoczęcia jest wpłata kwoty wpisowego oraz czesnego przynajmniej za pierwszy semestr nauki.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bCs/>
          <w:lang w:eastAsia="pl-PL"/>
        </w:rPr>
        <w:t>Kandydaci na studia prowadzone w języku angielskim powinni spełniać następujące warunki:</w:t>
      </w:r>
    </w:p>
    <w:p w:rsidR="009C761C" w:rsidRPr="009E6868" w:rsidRDefault="009C761C" w:rsidP="008A6E8C">
      <w:pPr>
        <w:numPr>
          <w:ilvl w:val="0"/>
          <w:numId w:val="8"/>
        </w:numPr>
        <w:tabs>
          <w:tab w:val="clear" w:pos="234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legitymowanie się świadectwem dojrzałości lub innym równoważnym dokumentem stwierdzającym ukończenie szkoły, uprawniającym do podjęcia studiów magisterskich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 państwie, w którym został wydany, uznanym zgodnie z odrębnymi przepisami za równoważny odpowiedniemu polskiemu świadectwu dojrzałości (maturalnemu),</w:t>
      </w:r>
    </w:p>
    <w:p w:rsidR="009C761C" w:rsidRPr="009E6868" w:rsidRDefault="009C761C" w:rsidP="008A6E8C">
      <w:pPr>
        <w:numPr>
          <w:ilvl w:val="0"/>
          <w:numId w:val="8"/>
        </w:numPr>
        <w:tabs>
          <w:tab w:val="clear" w:pos="2340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lastRenderedPageBreak/>
        <w:t>uzyskanie średniej przekraczającej 3,25 obliczonej w oparciu o:</w:t>
      </w:r>
    </w:p>
    <w:p w:rsidR="009C761C" w:rsidRPr="009E6868" w:rsidRDefault="009C761C" w:rsidP="008A6E8C">
      <w:pPr>
        <w:numPr>
          <w:ilvl w:val="1"/>
          <w:numId w:val="9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oceny z chemii oraz drugiego spośród trzech przedmiotów: biologii, fizyki lub matematyki ze świadectwa, którym mowa w ust. 9 pkt 1) niniejszego paragrafu, </w:t>
      </w:r>
    </w:p>
    <w:p w:rsidR="009C761C" w:rsidRPr="009E6868" w:rsidRDefault="009C761C" w:rsidP="008A6E8C">
      <w:pPr>
        <w:numPr>
          <w:ilvl w:val="1"/>
          <w:numId w:val="9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ewentualne świadectwa i dyplomy kształcenia uzupełniającego i wyższego.</w:t>
      </w:r>
    </w:p>
    <w:p w:rsidR="009C761C" w:rsidRPr="009E6868" w:rsidRDefault="009C761C" w:rsidP="008A6E8C">
      <w:pPr>
        <w:tabs>
          <w:tab w:val="left" w:pos="1276"/>
        </w:tabs>
        <w:spacing w:after="0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3)   posługiwanie się językiem angielskim na poziomie co najmniej B2 określonym w globalnej sk</w:t>
      </w:r>
      <w:r w:rsidR="009E6868">
        <w:rPr>
          <w:rFonts w:ascii="Times New Roman" w:eastAsia="Times New Roman" w:hAnsi="Times New Roman" w:cs="Times New Roman"/>
          <w:lang w:eastAsia="pl-PL"/>
        </w:rPr>
        <w:t>ali biegłości językowej wg CEFR,</w:t>
      </w:r>
    </w:p>
    <w:p w:rsidR="009C761C" w:rsidRPr="009E6868" w:rsidRDefault="009C761C" w:rsidP="008A6E8C">
      <w:p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4)  uzyskanie powyżej 50 punktów na rozmowie kwalifikacyjnej ocenianej według wewnętrznego przelicznika ocen (załącznik nr 1),</w:t>
      </w:r>
    </w:p>
    <w:p w:rsidR="009C761C" w:rsidRPr="009E6868" w:rsidRDefault="009C761C" w:rsidP="008A6E8C">
      <w:p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9E6868">
        <w:rPr>
          <w:rFonts w:ascii="Times New Roman" w:eastAsia="Times New Roman" w:hAnsi="Times New Roman" w:cs="Times New Roman"/>
          <w:lang w:eastAsia="pl-PL"/>
        </w:rPr>
        <w:tab/>
        <w:t>złożenie podania o przyjęcie na studia wraz z uzasadnieniem podjęc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>ia studiów farmaceutycznych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i wykonywania w przyszłości zawodu farmaceuty.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kandydata następuje w oparciu o następujące kryteria: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902FC6" w:rsidRPr="009E6868">
        <w:rPr>
          <w:rFonts w:ascii="Times New Roman" w:eastAsia="Times New Roman" w:hAnsi="Times New Roman" w:cs="Times New Roman"/>
          <w:lang w:eastAsia="pl-PL"/>
        </w:rPr>
        <w:t>osób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posiadających nową maturę, wynik egzaminu maturalnego określony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 procentach zostanie przeliczony na punkty, przy czym 1% równoważny jest 1 pkt</w:t>
      </w:r>
      <w:r w:rsidR="009E6868">
        <w:rPr>
          <w:rFonts w:ascii="Times New Roman" w:eastAsia="Times New Roman" w:hAnsi="Times New Roman" w:cs="Times New Roman"/>
          <w:lang w:eastAsia="pl-PL"/>
        </w:rPr>
        <w:t>.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Maksymalnie można uzyskać 200 pkt, po 100 pkt z każdego przedmiotu</w:t>
      </w:r>
      <w:r w:rsidR="009E6868">
        <w:rPr>
          <w:rFonts w:ascii="Times New Roman" w:eastAsia="Times New Roman" w:hAnsi="Times New Roman" w:cs="Times New Roman"/>
          <w:lang w:eastAsia="pl-PL"/>
        </w:rPr>
        <w:t>;</w:t>
      </w:r>
    </w:p>
    <w:p w:rsidR="009C761C" w:rsidRPr="009E6868" w:rsidRDefault="00354657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przypadku kandydatów, którzy zdawali maturę przed 2005 rokiem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 xml:space="preserve">, podstawą przyjęcia jest wynik z 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chemii 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z części pisemnej matury oraz wynik z drugiego wymaganego przedmiotu ze świadectwa ukończenia szkoły średniej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26BE3" w:rsidRPr="009E6868">
        <w:rPr>
          <w:rFonts w:ascii="Times New Roman" w:eastAsia="Times New Roman" w:hAnsi="Times New Roman" w:cs="Times New Roman"/>
          <w:lang w:eastAsia="pl-PL"/>
        </w:rPr>
        <w:t xml:space="preserve">do wyboru: </w:t>
      </w:r>
      <w:r w:rsidRPr="009E6868">
        <w:rPr>
          <w:rFonts w:ascii="Times New Roman" w:eastAsia="Times New Roman" w:hAnsi="Times New Roman" w:cs="Times New Roman"/>
          <w:lang w:eastAsia="pl-PL"/>
        </w:rPr>
        <w:t>biologii, fizyki lub matematyki)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, przy czym st</w:t>
      </w:r>
      <w:r w:rsidRPr="009E6868">
        <w:rPr>
          <w:rFonts w:ascii="Times New Roman" w:eastAsia="Times New Roman" w:hAnsi="Times New Roman" w:cs="Times New Roman"/>
          <w:lang w:eastAsia="pl-PL"/>
        </w:rPr>
        <w:t>osuje się następującą punktację:</w:t>
      </w:r>
    </w:p>
    <w:p w:rsidR="009C761C" w:rsidRPr="009E6868" w:rsidRDefault="009C761C" w:rsidP="008A6E8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5,0 = 100 punktów</w:t>
      </w:r>
    </w:p>
    <w:p w:rsidR="009C761C" w:rsidRPr="009E6868" w:rsidRDefault="009C761C" w:rsidP="008A6E8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4,5 =  90 punktów</w:t>
      </w:r>
    </w:p>
    <w:p w:rsidR="009C761C" w:rsidRPr="009E6868" w:rsidRDefault="009C761C" w:rsidP="008A6E8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4,0 =  80 punktów</w:t>
      </w:r>
    </w:p>
    <w:p w:rsidR="009C761C" w:rsidRPr="009E6868" w:rsidRDefault="009C761C" w:rsidP="008A6E8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3,5 =  75 punktów</w:t>
      </w:r>
    </w:p>
    <w:p w:rsidR="009C761C" w:rsidRPr="009E6868" w:rsidRDefault="009C761C" w:rsidP="008A6E8C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3,0 =  65 punktów</w:t>
      </w:r>
    </w:p>
    <w:p w:rsidR="009C761C" w:rsidRPr="009E6868" w:rsidRDefault="009C761C" w:rsidP="008A6E8C">
      <w:pPr>
        <w:tabs>
          <w:tab w:val="num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ocena 2,5 =  50 punktów</w:t>
      </w:r>
    </w:p>
    <w:p w:rsidR="009C761C" w:rsidRPr="009E6868" w:rsidRDefault="009E6868" w:rsidP="008A6E8C">
      <w:pPr>
        <w:tabs>
          <w:tab w:val="num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2,0 =   0 punktów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przypadku kandydat</w:t>
      </w:r>
      <w:r w:rsidR="00354657" w:rsidRPr="009E6868">
        <w:rPr>
          <w:rFonts w:ascii="Times New Roman" w:eastAsia="Times New Roman" w:hAnsi="Times New Roman" w:cs="Times New Roman"/>
          <w:lang w:eastAsia="pl-PL"/>
        </w:rPr>
        <w:t>ów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z maturą międzynarodową (IB) stosuje się następujący przelicznik: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1 punkt na maturze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28 punktów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2 punkty na maturze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40 punktów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3 punkty na maturze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52 punkty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4 punkty na maturze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64 punkty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5 punktów na maturze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76 punktów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6 punktów na maturze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88 punktów w rankingu</w:t>
      </w:r>
    </w:p>
    <w:p w:rsidR="009C761C" w:rsidRPr="009E6868" w:rsidRDefault="009C761C" w:rsidP="008A6E8C">
      <w:pPr>
        <w:tabs>
          <w:tab w:val="num" w:pos="1276"/>
        </w:tabs>
        <w:spacing w:after="0"/>
        <w:ind w:left="709"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7 punktów na maturze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tab/>
      </w:r>
      <w:r w:rsidRPr="009E6868">
        <w:rPr>
          <w:rFonts w:ascii="Times New Roman" w:eastAsia="Times New Roman" w:hAnsi="Times New Roman" w:cs="Times New Roman"/>
          <w:lang w:eastAsia="pl-PL"/>
        </w:rPr>
        <w:t>= 100 punktów w rankingu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w przypadku innej skali, podstawą przeliczenia będzie wewnętrzny przelicznik systemów  ocen (załącznik nr 1) ustalony w oparciu o informacje publiczne udostępnione przez szkołę lub kraj kandydata</w:t>
      </w:r>
      <w:r w:rsidR="009E6868">
        <w:rPr>
          <w:rFonts w:ascii="Times New Roman" w:eastAsia="Times New Roman" w:hAnsi="Times New Roman" w:cs="Times New Roman"/>
          <w:lang w:eastAsia="pl-PL"/>
        </w:rPr>
        <w:t>;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Komisja zastrzega sobie prawo do wprowadzenia w we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>wnętrznym przeliczniku systemów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ocen, ocen dotychczas nie uw</w:t>
      </w:r>
      <w:r w:rsidR="009E6868">
        <w:rPr>
          <w:rFonts w:ascii="Times New Roman" w:eastAsia="Times New Roman" w:hAnsi="Times New Roman" w:cs="Times New Roman"/>
          <w:lang w:eastAsia="pl-PL"/>
        </w:rPr>
        <w:t>zględnionych w tym przeliczniku;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na wniosek kandydata Komisja może uwzględnić oceny uzyskane na egzaminie SAT </w:t>
      </w:r>
      <w:r w:rsidR="00BC5DF0" w:rsidRPr="009E6868">
        <w:rPr>
          <w:rFonts w:ascii="Times New Roman" w:eastAsia="Times New Roman" w:hAnsi="Times New Roman" w:cs="Times New Roman"/>
          <w:lang w:eastAsia="pl-PL"/>
        </w:rPr>
        <w:t>lub odpowiedniki</w:t>
      </w:r>
      <w:r w:rsidR="00FA7856" w:rsidRPr="009E68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6868">
        <w:rPr>
          <w:rFonts w:ascii="Times New Roman" w:eastAsia="Times New Roman" w:hAnsi="Times New Roman" w:cs="Times New Roman"/>
          <w:lang w:eastAsia="pl-PL"/>
        </w:rPr>
        <w:t>przeliczane na podstawie wewnętrznego przelicznika systemów ocen (załącznik nr 1)</w:t>
      </w:r>
      <w:r w:rsidR="009E6868">
        <w:rPr>
          <w:rFonts w:ascii="Times New Roman" w:eastAsia="Times New Roman" w:hAnsi="Times New Roman" w:cs="Times New Roman"/>
          <w:lang w:eastAsia="pl-PL"/>
        </w:rPr>
        <w:t>;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na wniosek kandydata, Komisja może uwzględnić</w:t>
      </w:r>
      <w:r w:rsidR="00FB1139" w:rsidRPr="009E6868">
        <w:rPr>
          <w:rFonts w:ascii="Times New Roman" w:eastAsia="Times New Roman" w:hAnsi="Times New Roman" w:cs="Times New Roman"/>
          <w:lang w:eastAsia="pl-PL"/>
        </w:rPr>
        <w:t xml:space="preserve"> oceny </w:t>
      </w:r>
      <w:r w:rsidRPr="009E6868">
        <w:rPr>
          <w:rFonts w:ascii="Times New Roman" w:eastAsia="Times New Roman" w:hAnsi="Times New Roman" w:cs="Times New Roman"/>
          <w:lang w:eastAsia="pl-PL"/>
        </w:rPr>
        <w:t>uzyskane w kształceniu uzupełniającym lub wyższym przeliczane na podstawie wewnętrznego przelicznika ocen (załącznik nr 1)</w:t>
      </w:r>
      <w:r w:rsidR="009E6868">
        <w:rPr>
          <w:rFonts w:ascii="Times New Roman" w:eastAsia="Times New Roman" w:hAnsi="Times New Roman" w:cs="Times New Roman"/>
          <w:lang w:eastAsia="pl-PL"/>
        </w:rPr>
        <w:t>;</w:t>
      </w:r>
    </w:p>
    <w:p w:rsidR="0001413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 kandydatów, którzy uzyskali świadectwa wymienione w ust. 9 pkt 1) niniejszego paragrafu poza granicami RP stosuje się przelicznik jak </w:t>
      </w:r>
      <w:r w:rsidR="00875BE6" w:rsidRPr="009E6868">
        <w:rPr>
          <w:rFonts w:ascii="Times New Roman" w:eastAsia="Times New Roman" w:hAnsi="Times New Roman" w:cs="Times New Roman"/>
          <w:lang w:eastAsia="pl-PL"/>
        </w:rPr>
        <w:t xml:space="preserve">dla kandydatów w ust. 10 pkt </w:t>
      </w:r>
      <w:r w:rsidR="00126256" w:rsidRPr="009E6868">
        <w:rPr>
          <w:rFonts w:ascii="Times New Roman" w:eastAsia="Times New Roman" w:hAnsi="Times New Roman" w:cs="Times New Roman"/>
          <w:lang w:eastAsia="pl-PL"/>
        </w:rPr>
        <w:t>2</w:t>
      </w:r>
      <w:r w:rsidR="00875BE6" w:rsidRPr="009E6868">
        <w:rPr>
          <w:rFonts w:ascii="Times New Roman" w:eastAsia="Times New Roman" w:hAnsi="Times New Roman" w:cs="Times New Roman"/>
          <w:lang w:eastAsia="pl-PL"/>
        </w:rPr>
        <w:t>)</w:t>
      </w:r>
      <w:r w:rsidR="009E6868">
        <w:rPr>
          <w:rFonts w:ascii="Times New Roman" w:eastAsia="Times New Roman" w:hAnsi="Times New Roman" w:cs="Times New Roman"/>
          <w:lang w:eastAsia="pl-PL"/>
        </w:rPr>
        <w:t>;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punkty mogą być uzyskane podczas rozmowy kwalifikacyjnej za:  </w:t>
      </w:r>
    </w:p>
    <w:p w:rsidR="009C761C" w:rsidRPr="009E6868" w:rsidRDefault="009C761C" w:rsidP="008A6E8C">
      <w:pPr>
        <w:numPr>
          <w:ilvl w:val="2"/>
          <w:numId w:val="25"/>
        </w:numPr>
        <w:tabs>
          <w:tab w:val="clear" w:pos="2340"/>
        </w:tabs>
        <w:spacing w:after="0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znajomość języka angielskiego oraz motywację i predyspozycje</w:t>
      </w:r>
      <w:r w:rsidR="003F6A7A" w:rsidRPr="009E6868">
        <w:rPr>
          <w:rFonts w:ascii="Times New Roman" w:eastAsia="Times New Roman" w:hAnsi="Times New Roman" w:cs="Times New Roman"/>
          <w:lang w:eastAsia="pl-PL"/>
        </w:rPr>
        <w:t xml:space="preserve"> kandydata do studiów farmaceutycznych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przygotowujących do zawodu farm</w:t>
      </w:r>
      <w:r w:rsidR="009E6868">
        <w:rPr>
          <w:rFonts w:ascii="Times New Roman" w:eastAsia="Times New Roman" w:hAnsi="Times New Roman" w:cs="Times New Roman"/>
          <w:lang w:eastAsia="pl-PL"/>
        </w:rPr>
        <w:t>aceuty – maksymalnie 50 punktów,</w:t>
      </w:r>
    </w:p>
    <w:p w:rsidR="009C761C" w:rsidRPr="009E6868" w:rsidRDefault="009C761C" w:rsidP="008A6E8C">
      <w:pPr>
        <w:numPr>
          <w:ilvl w:val="2"/>
          <w:numId w:val="25"/>
        </w:numPr>
        <w:tabs>
          <w:tab w:val="clear" w:pos="2340"/>
        </w:tabs>
        <w:spacing w:after="0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lastRenderedPageBreak/>
        <w:t>umiejętność prezentacji, w języku angielskim, wiedzy z wybranych przedmiotów ści</w:t>
      </w:r>
      <w:r w:rsidR="009E6868">
        <w:rPr>
          <w:rFonts w:ascii="Times New Roman" w:eastAsia="Times New Roman" w:hAnsi="Times New Roman" w:cs="Times New Roman"/>
          <w:lang w:eastAsia="pl-PL"/>
        </w:rPr>
        <w:t>słych  – maksymalnie 50 punktów;</w:t>
      </w:r>
    </w:p>
    <w:p w:rsidR="009C761C" w:rsidRPr="009E6868" w:rsidRDefault="009E6868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ozmowa może być przeprowadzona przez Komisję osobiście lub przy pomocy środków komunikacji elektronicznej pod warunkiem złożenia wszystkich wymaganych dokumentów oraz</w:t>
      </w:r>
      <w:r>
        <w:rPr>
          <w:rFonts w:ascii="Times New Roman" w:eastAsia="Times New Roman" w:hAnsi="Times New Roman" w:cs="Times New Roman"/>
          <w:lang w:eastAsia="pl-PL"/>
        </w:rPr>
        <w:t xml:space="preserve"> dokonaniu opłaty rekrutacyjnej;</w:t>
      </w:r>
    </w:p>
    <w:p w:rsidR="009C761C" w:rsidRPr="009E6868" w:rsidRDefault="009E6868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 xml:space="preserve"> przypadku osób niepełnosprawnych, rozmowa kwalifikacyjna będzie uwzg</w:t>
      </w:r>
      <w:r>
        <w:rPr>
          <w:rFonts w:ascii="Times New Roman" w:eastAsia="Times New Roman" w:hAnsi="Times New Roman" w:cs="Times New Roman"/>
          <w:lang w:eastAsia="pl-PL"/>
        </w:rPr>
        <w:t>lędniać ich szczególne potrzeby;</w:t>
      </w:r>
    </w:p>
    <w:p w:rsidR="009C761C" w:rsidRPr="009E6868" w:rsidRDefault="009E6868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andydaci legitymujący się zdanym egzaminem maturalnym w Polsce po 2005</w:t>
      </w:r>
      <w:r w:rsidR="009E2F57" w:rsidRPr="009E68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r. lub odpowiadającą mu maturą międzynarodową (IB lub EB) są zwolnieni  z części weryfikującej znajomość przedmiotów ścisłych. Liczba punktów z tej części rozmowy jest przeliczana na podstawie ocen z dwóch przedmiotów (zgodnie z ust</w:t>
      </w:r>
      <w:r w:rsidR="00875BE6" w:rsidRPr="009E6868">
        <w:rPr>
          <w:rFonts w:ascii="Times New Roman" w:eastAsia="Times New Roman" w:hAnsi="Times New Roman" w:cs="Times New Roman"/>
          <w:lang w:eastAsia="pl-PL"/>
        </w:rPr>
        <w:t>.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 xml:space="preserve"> 9 p</w:t>
      </w:r>
      <w:r w:rsidR="00875BE6" w:rsidRPr="009E6868">
        <w:rPr>
          <w:rFonts w:ascii="Times New Roman" w:eastAsia="Times New Roman" w:hAnsi="Times New Roman" w:cs="Times New Roman"/>
          <w:lang w:eastAsia="pl-PL"/>
        </w:rPr>
        <w:t>kt 2a oraz ustęp 10 pkt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657" w:rsidRPr="009E6868">
        <w:rPr>
          <w:rFonts w:ascii="Times New Roman" w:eastAsia="Times New Roman" w:hAnsi="Times New Roman" w:cs="Times New Roman"/>
          <w:lang w:eastAsia="pl-PL"/>
        </w:rPr>
        <w:t>3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>) uzyskanych na egzaminie maturalnym przy czym liczba uzyskanych punktów dzielona jest przez 4. Maksymalnie można uzyskać 50 pkt, po 25 pkt z każdego przedmiotu.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Komisja zastrzega sobie prawo do zasięgnięcia opinii eksperta w przebiegu postepowania kwalifikacyjnego. Op</w:t>
      </w:r>
      <w:r w:rsidR="00495F1F">
        <w:rPr>
          <w:rFonts w:ascii="Times New Roman" w:eastAsia="Times New Roman" w:hAnsi="Times New Roman" w:cs="Times New Roman"/>
          <w:lang w:eastAsia="pl-PL"/>
        </w:rPr>
        <w:t>inia eksperta nie jest wiążąca;</w:t>
      </w:r>
    </w:p>
    <w:p w:rsidR="009C761C" w:rsidRPr="009E6868" w:rsidRDefault="009C761C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średnią ocen, o której mowa w ust 9 pkt 2</w:t>
      </w:r>
      <w:r w:rsidR="0087660E" w:rsidRPr="009E6868">
        <w:rPr>
          <w:rFonts w:ascii="Times New Roman" w:eastAsia="Times New Roman" w:hAnsi="Times New Roman" w:cs="Times New Roman"/>
          <w:lang w:eastAsia="pl-PL"/>
        </w:rPr>
        <w:t>)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oraz ust 10 pkt </w:t>
      </w:r>
      <w:r w:rsidR="00875BE6" w:rsidRPr="009E6868">
        <w:rPr>
          <w:rFonts w:ascii="Times New Roman" w:eastAsia="Times New Roman" w:hAnsi="Times New Roman" w:cs="Times New Roman"/>
          <w:lang w:eastAsia="pl-PL"/>
        </w:rPr>
        <w:t>1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) oblicza się w oparciu o oceny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z chemii oraz drugiego spośród trzech przedmiotów: biologii, fizyki lub matematyki w tym przynajmniej jeden na poziomie rozszerzonym, o ile w kraju, w którym kandydat uzyskał świadectwo, o którym mowa w ust. 9 pkt 1</w:t>
      </w:r>
      <w:r w:rsidR="0087660E" w:rsidRPr="009E6868">
        <w:rPr>
          <w:rFonts w:ascii="Times New Roman" w:eastAsia="Times New Roman" w:hAnsi="Times New Roman" w:cs="Times New Roman"/>
          <w:lang w:eastAsia="pl-PL"/>
        </w:rPr>
        <w:t>)</w:t>
      </w:r>
      <w:r w:rsidRPr="009E6868">
        <w:rPr>
          <w:rFonts w:ascii="Times New Roman" w:eastAsia="Times New Roman" w:hAnsi="Times New Roman" w:cs="Times New Roman"/>
          <w:lang w:eastAsia="pl-PL"/>
        </w:rPr>
        <w:t>, przedmioty realizowane są na poziomie rozszerzonym</w:t>
      </w:r>
      <w:r w:rsidR="00495F1F">
        <w:rPr>
          <w:rFonts w:ascii="Times New Roman" w:eastAsia="Times New Roman" w:hAnsi="Times New Roman" w:cs="Times New Roman"/>
          <w:lang w:eastAsia="pl-PL"/>
        </w:rPr>
        <w:t>;</w:t>
      </w:r>
    </w:p>
    <w:p w:rsidR="009C761C" w:rsidRPr="009E6868" w:rsidRDefault="00495F1F" w:rsidP="008A6E8C">
      <w:pPr>
        <w:numPr>
          <w:ilvl w:val="1"/>
          <w:numId w:val="24"/>
        </w:numPr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9C761C" w:rsidRPr="009E6868">
        <w:rPr>
          <w:rFonts w:ascii="Times New Roman" w:eastAsia="Times New Roman" w:hAnsi="Times New Roman" w:cs="Times New Roman"/>
          <w:lang w:eastAsia="pl-PL"/>
        </w:rPr>
        <w:t xml:space="preserve">stateczna liczba punktów zostanie obliczona na podstawie sumy liczby punktów obliczonych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br/>
      </w:r>
      <w:r w:rsidR="009C761C" w:rsidRPr="009E6868">
        <w:rPr>
          <w:rFonts w:ascii="Times New Roman" w:eastAsia="Times New Roman" w:hAnsi="Times New Roman" w:cs="Times New Roman"/>
          <w:lang w:eastAsia="pl-PL"/>
        </w:rPr>
        <w:t>z ocen z dwóch wymaganych przedmiotów oraz z oceny uzyska</w:t>
      </w:r>
      <w:r>
        <w:rPr>
          <w:rFonts w:ascii="Times New Roman" w:eastAsia="Times New Roman" w:hAnsi="Times New Roman" w:cs="Times New Roman"/>
          <w:lang w:eastAsia="pl-PL"/>
        </w:rPr>
        <w:t>nej na rozmowie kwalifikacyjnej.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przypadku, gdy kandydat nie ukończył jeszcze nauki w szkole, dopuszcza się przeprowadzenie wstępnego postępowania kwalifikacyjnego i wydania promesy na podstawie ocen śródrocznych. 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Wydanie decyzji o przyjęciu następuje pod warunkiem dostarczenia przez kandydata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w odpowiednim terminie oryginału świadectwa maturalnego/ ukończenia szkoły średniej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z ocenami nie niższymi niż oceny śródroczne.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 większej liczby kandydatów spełniających kryteria do przyjęcia na studia, niż ustalony limit miejsc, Komisja ustali listę osób przyjętych na podstawie średniej ocen obliczonej zgodnie z zasadami wskazanymi wyżej. 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Lista przyjętych kandydatów zostanie ustalona w</w:t>
      </w:r>
      <w:r w:rsidR="00FA7856" w:rsidRPr="009E6868">
        <w:rPr>
          <w:rFonts w:ascii="Times New Roman" w:eastAsia="Times New Roman" w:hAnsi="Times New Roman" w:cs="Times New Roman"/>
          <w:lang w:eastAsia="pl-PL"/>
        </w:rPr>
        <w:t xml:space="preserve">edług uzyskanej liczby punktów </w:t>
      </w:r>
      <w:r w:rsidRPr="009E6868">
        <w:rPr>
          <w:rFonts w:ascii="Times New Roman" w:eastAsia="Times New Roman" w:hAnsi="Times New Roman" w:cs="Times New Roman"/>
          <w:lang w:eastAsia="pl-PL"/>
        </w:rPr>
        <w:t>aż do wyczerpania limitu miejsc. Wszyscy kandydaci, którzy uzyskali taką samą liczbę punktów, co kandydat zajmujący ostatnie miejsce na liście, zostaną umieszczeni na liście przyjętych.</w:t>
      </w:r>
    </w:p>
    <w:p w:rsidR="009C761C" w:rsidRPr="009E6868" w:rsidRDefault="009C761C" w:rsidP="008A6E8C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Listę przyjętych kandydatów ogłasza się poprzez wywieszenie w siedzibie Uczelni oraz poprzez umieszczenie na stronie internetowej Uniwersytetu Medycznego w Białymstoku.</w:t>
      </w:r>
    </w:p>
    <w:p w:rsidR="009C761C" w:rsidRPr="009E6868" w:rsidRDefault="009C761C" w:rsidP="009C761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C761C" w:rsidRPr="009E6868" w:rsidRDefault="009C761C" w:rsidP="008A6E8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6868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C761C" w:rsidRPr="009E6868" w:rsidRDefault="009C761C" w:rsidP="008A6E8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Po zakończonym postępowaniu kwalifikacyjnym, kandydat otrzyma pisemną decyzję o przyjęciu lub nieprzyjęciu na studia, wydaną przez Wydziałową Komisję </w:t>
      </w:r>
      <w:r w:rsidR="00BC5DF0" w:rsidRPr="009E6868">
        <w:rPr>
          <w:rFonts w:ascii="Times New Roman" w:eastAsia="Times New Roman" w:hAnsi="Times New Roman" w:cs="Times New Roman"/>
          <w:lang w:eastAsia="pl-PL"/>
        </w:rPr>
        <w:t>Kwalifikacyjn</w:t>
      </w:r>
      <w:r w:rsidR="00FD4FCE" w:rsidRPr="009E6868">
        <w:rPr>
          <w:rFonts w:ascii="Times New Roman" w:eastAsia="Times New Roman" w:hAnsi="Times New Roman" w:cs="Times New Roman"/>
          <w:lang w:eastAsia="pl-PL"/>
        </w:rPr>
        <w:t>ą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, o której mowa </w:t>
      </w:r>
      <w:r w:rsidR="008A6E8C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 § 1 ust. 2.</w:t>
      </w:r>
    </w:p>
    <w:p w:rsidR="009C761C" w:rsidRPr="009E6868" w:rsidRDefault="009C761C" w:rsidP="008A6E8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Od decyzji Wydziałowej Komisji </w:t>
      </w:r>
      <w:r w:rsidR="00FD4FCE" w:rsidRPr="009E6868">
        <w:rPr>
          <w:rFonts w:ascii="Times New Roman" w:eastAsia="Times New Roman" w:hAnsi="Times New Roman" w:cs="Times New Roman"/>
          <w:lang w:eastAsia="pl-PL"/>
        </w:rPr>
        <w:t>Kwalifikacyjne</w:t>
      </w:r>
      <w:r w:rsidRPr="009E6868">
        <w:rPr>
          <w:rFonts w:ascii="Times New Roman" w:eastAsia="Times New Roman" w:hAnsi="Times New Roman" w:cs="Times New Roman"/>
          <w:lang w:eastAsia="pl-PL"/>
        </w:rPr>
        <w:t>j służy odwołanie do Uczelnianej Komisji Rekrutacyjnej, w terminie 14 dni od daty doręczenia decyzji.</w:t>
      </w:r>
    </w:p>
    <w:p w:rsidR="009C761C" w:rsidRPr="009E6868" w:rsidRDefault="009C761C" w:rsidP="008A6E8C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>Podstawą odwołania może być jedynie wskazanie naruszenia warunków i trybu rekrutacji na studia.</w:t>
      </w:r>
    </w:p>
    <w:p w:rsidR="009C761C" w:rsidRPr="009E6868" w:rsidRDefault="009C761C" w:rsidP="009C76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C761C" w:rsidRPr="009E6868" w:rsidRDefault="009C761C" w:rsidP="008A6E8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6868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C761C" w:rsidRPr="009E6868" w:rsidRDefault="009C761C" w:rsidP="008A6E8C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Odpłatność za studia na kierunku Farmacja Wydziału Farmaceutycznego z Oddziałem Medycyny Laboratoryjnej Uniwersytetu Medycznego w Białymstoku, prowadzonych w formie stacjonarnych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5,5-letnich studiów w języku angielskim dla studentów rozpoczynaj</w:t>
      </w:r>
      <w:r w:rsidR="00804856" w:rsidRPr="009E6868">
        <w:rPr>
          <w:rFonts w:ascii="Times New Roman" w:eastAsia="Times New Roman" w:hAnsi="Times New Roman" w:cs="Times New Roman"/>
          <w:lang w:eastAsia="pl-PL"/>
        </w:rPr>
        <w:t>ących je w roku akademickim 2019/2020</w:t>
      </w:r>
      <w:r w:rsidRPr="009E6868">
        <w:rPr>
          <w:rFonts w:ascii="Times New Roman" w:eastAsia="Times New Roman" w:hAnsi="Times New Roman" w:cs="Times New Roman"/>
          <w:lang w:eastAsia="pl-PL"/>
        </w:rPr>
        <w:t xml:space="preserve"> wynosi 7500 € za pierwszy rok nauki.</w:t>
      </w:r>
    </w:p>
    <w:p w:rsidR="009C761C" w:rsidRPr="009E6868" w:rsidRDefault="009C761C" w:rsidP="008A6E8C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lastRenderedPageBreak/>
        <w:t>Wysokość opłaty wnoszonej przez osobę ubiegającą si</w:t>
      </w:r>
      <w:r w:rsidR="00A11190" w:rsidRPr="009E6868">
        <w:rPr>
          <w:rFonts w:ascii="Times New Roman" w:eastAsia="Times New Roman" w:hAnsi="Times New Roman" w:cs="Times New Roman"/>
          <w:lang w:eastAsia="pl-PL"/>
        </w:rPr>
        <w:t xml:space="preserve">ę o przyjęcie na studia wynosi </w:t>
      </w:r>
      <w:r w:rsidRPr="009E6868">
        <w:rPr>
          <w:rFonts w:ascii="Times New Roman" w:eastAsia="Times New Roman" w:hAnsi="Times New Roman" w:cs="Times New Roman"/>
          <w:lang w:eastAsia="pl-PL"/>
        </w:rPr>
        <w:t>500 €.</w:t>
      </w:r>
    </w:p>
    <w:p w:rsidR="009C761C" w:rsidRPr="009E6868" w:rsidRDefault="009C761C" w:rsidP="008A6E8C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Przyjęci studenci są zobowiązani uczestniczyć w kursie przygotowawczym, którego koszt </w:t>
      </w:r>
      <w:r w:rsidR="00766481" w:rsidRPr="009E6868">
        <w:rPr>
          <w:rFonts w:ascii="Times New Roman" w:eastAsia="Times New Roman" w:hAnsi="Times New Roman" w:cs="Times New Roman"/>
          <w:lang w:eastAsia="pl-PL"/>
        </w:rPr>
        <w:br/>
      </w:r>
      <w:r w:rsidRPr="009E6868">
        <w:rPr>
          <w:rFonts w:ascii="Times New Roman" w:eastAsia="Times New Roman" w:hAnsi="Times New Roman" w:cs="Times New Roman"/>
          <w:lang w:eastAsia="pl-PL"/>
        </w:rPr>
        <w:t>wynosi 450 €.</w:t>
      </w:r>
    </w:p>
    <w:p w:rsidR="00A11190" w:rsidRPr="009E6868" w:rsidRDefault="00A11190" w:rsidP="00A11190">
      <w:pPr>
        <w:spacing w:after="0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1190" w:rsidRPr="009E6868" w:rsidRDefault="00A11190" w:rsidP="008A6E8C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6868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A11190" w:rsidRPr="009E6868" w:rsidRDefault="00A11190" w:rsidP="008A6E8C">
      <w:pPr>
        <w:numPr>
          <w:ilvl w:val="0"/>
          <w:numId w:val="6"/>
        </w:numPr>
        <w:spacing w:after="0"/>
        <w:ind w:left="426" w:right="-567"/>
        <w:jc w:val="both"/>
        <w:rPr>
          <w:rFonts w:ascii="Times New Roman" w:hAnsi="Times New Roman" w:cs="Times New Roman"/>
          <w:lang w:eastAsia="pl-PL"/>
        </w:rPr>
      </w:pPr>
      <w:r w:rsidRPr="009E6868">
        <w:rPr>
          <w:rFonts w:ascii="Times New Roman" w:hAnsi="Times New Roman" w:cs="Times New Roman"/>
          <w:lang w:eastAsia="pl-PL"/>
        </w:rPr>
        <w:t xml:space="preserve">Limit miejsc na wynosi 30 osób. </w:t>
      </w:r>
    </w:p>
    <w:p w:rsidR="00A11190" w:rsidRPr="009E6868" w:rsidRDefault="00A11190" w:rsidP="008A6E8C">
      <w:pPr>
        <w:pStyle w:val="Akapitzlist"/>
        <w:numPr>
          <w:ilvl w:val="0"/>
          <w:numId w:val="6"/>
        </w:numPr>
        <w:spacing w:after="0"/>
        <w:ind w:left="426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9E6868">
        <w:rPr>
          <w:rFonts w:ascii="Times New Roman" w:eastAsia="Times New Roman" w:hAnsi="Times New Roman" w:cs="Times New Roman"/>
          <w:lang w:eastAsia="pl-PL"/>
        </w:rPr>
        <w:t xml:space="preserve">W przypadku, gdy liczba kandydatów będzie mniejsza niż 10 osób – kierunek nie zostanie otworzony. </w:t>
      </w:r>
    </w:p>
    <w:p w:rsidR="009C761C" w:rsidRPr="009E6868" w:rsidRDefault="009C761C" w:rsidP="00C82AF8">
      <w:pPr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65A5B" w:rsidRPr="009E6868" w:rsidRDefault="00065A5B" w:rsidP="008A6E8C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6868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FA5CC1" w:rsidRPr="009E6868" w:rsidRDefault="00FA5CC1" w:rsidP="008A6E8C">
      <w:pPr>
        <w:spacing w:after="120"/>
        <w:ind w:right="-569"/>
        <w:jc w:val="both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>Uchwałę podjęto w głosowaniu jawnym. Liczba obecnych</w:t>
      </w:r>
      <w:r w:rsidR="00804856" w:rsidRPr="009E6868">
        <w:rPr>
          <w:rFonts w:ascii="Times New Roman" w:hAnsi="Times New Roman" w:cs="Times New Roman"/>
        </w:rPr>
        <w:t xml:space="preserve"> uprawnionych do głosowania – </w:t>
      </w:r>
      <w:r w:rsidRPr="009E6868">
        <w:rPr>
          <w:rFonts w:ascii="Times New Roman" w:hAnsi="Times New Roman" w:cs="Times New Roman"/>
        </w:rPr>
        <w:t xml:space="preserve">; liczba </w:t>
      </w:r>
      <w:r w:rsidR="00804856" w:rsidRPr="009E6868">
        <w:rPr>
          <w:rFonts w:ascii="Times New Roman" w:hAnsi="Times New Roman" w:cs="Times New Roman"/>
        </w:rPr>
        <w:t xml:space="preserve">głosów „tak” – , liczba głosów „nie” – </w:t>
      </w:r>
      <w:r w:rsidRPr="009E6868">
        <w:rPr>
          <w:rFonts w:ascii="Times New Roman" w:hAnsi="Times New Roman" w:cs="Times New Roman"/>
        </w:rPr>
        <w:t>, liczba</w:t>
      </w:r>
      <w:r w:rsidR="00804856" w:rsidRPr="009E6868">
        <w:rPr>
          <w:rFonts w:ascii="Times New Roman" w:hAnsi="Times New Roman" w:cs="Times New Roman"/>
        </w:rPr>
        <w:t xml:space="preserve"> głosów „wstrzymujących się” – </w:t>
      </w:r>
      <w:r w:rsidRPr="009E6868">
        <w:rPr>
          <w:rFonts w:ascii="Times New Roman" w:hAnsi="Times New Roman" w:cs="Times New Roman"/>
        </w:rPr>
        <w:t>.</w:t>
      </w:r>
    </w:p>
    <w:p w:rsidR="008A6E8C" w:rsidRPr="009E6868" w:rsidRDefault="008A6E8C" w:rsidP="008A6E8C">
      <w:pPr>
        <w:spacing w:after="120"/>
        <w:ind w:right="-569"/>
        <w:jc w:val="both"/>
        <w:rPr>
          <w:rFonts w:ascii="Times New Roman" w:hAnsi="Times New Roman" w:cs="Times New Roman"/>
        </w:rPr>
      </w:pPr>
    </w:p>
    <w:p w:rsidR="00065A5B" w:rsidRPr="009E6868" w:rsidRDefault="00065A5B" w:rsidP="008A6E8C">
      <w:pPr>
        <w:spacing w:after="120"/>
        <w:jc w:val="center"/>
        <w:rPr>
          <w:rFonts w:ascii="Times New Roman" w:hAnsi="Times New Roman" w:cs="Times New Roman"/>
          <w:b/>
        </w:rPr>
      </w:pPr>
      <w:r w:rsidRPr="009E6868">
        <w:rPr>
          <w:rFonts w:ascii="Times New Roman" w:hAnsi="Times New Roman" w:cs="Times New Roman"/>
          <w:b/>
        </w:rPr>
        <w:t>§ 6</w:t>
      </w:r>
    </w:p>
    <w:p w:rsidR="00065A5B" w:rsidRPr="009E6868" w:rsidRDefault="00065A5B" w:rsidP="008A6E8C">
      <w:pPr>
        <w:ind w:right="-569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>Uchwała wcho</w:t>
      </w:r>
      <w:r w:rsidR="00804856" w:rsidRPr="009E6868">
        <w:rPr>
          <w:rFonts w:ascii="Times New Roman" w:hAnsi="Times New Roman" w:cs="Times New Roman"/>
        </w:rPr>
        <w:t xml:space="preserve">dzi w życie z dniem </w:t>
      </w:r>
      <w:r w:rsidR="00B32919" w:rsidRPr="009E6868">
        <w:rPr>
          <w:rFonts w:ascii="Times New Roman" w:hAnsi="Times New Roman" w:cs="Times New Roman"/>
        </w:rPr>
        <w:t>podjęcia.</w:t>
      </w:r>
    </w:p>
    <w:p w:rsidR="008A6E8C" w:rsidRPr="009E6868" w:rsidRDefault="008A6E8C" w:rsidP="008A6E8C">
      <w:pPr>
        <w:spacing w:after="0"/>
        <w:ind w:left="6095" w:right="-567"/>
        <w:jc w:val="center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>Przewodniczący Senatu</w:t>
      </w:r>
    </w:p>
    <w:p w:rsidR="008A6E8C" w:rsidRPr="009E6868" w:rsidRDefault="008A6E8C" w:rsidP="008A6E8C">
      <w:pPr>
        <w:spacing w:after="0"/>
        <w:ind w:left="6095" w:right="-567"/>
        <w:jc w:val="center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>Rektor</w:t>
      </w:r>
    </w:p>
    <w:p w:rsidR="008A6E8C" w:rsidRPr="009E6868" w:rsidRDefault="008A6E8C" w:rsidP="008A6E8C">
      <w:pPr>
        <w:spacing w:after="0"/>
        <w:ind w:left="6095" w:right="-567"/>
        <w:jc w:val="center"/>
        <w:rPr>
          <w:rFonts w:ascii="Times New Roman" w:hAnsi="Times New Roman" w:cs="Times New Roman"/>
        </w:rPr>
      </w:pPr>
    </w:p>
    <w:p w:rsidR="008A6E8C" w:rsidRPr="009E6868" w:rsidRDefault="008A6E8C" w:rsidP="008A6E8C">
      <w:pPr>
        <w:spacing w:after="0"/>
        <w:ind w:left="6095" w:right="-567"/>
        <w:jc w:val="center"/>
        <w:rPr>
          <w:rFonts w:ascii="Times New Roman" w:hAnsi="Times New Roman" w:cs="Times New Roman"/>
        </w:rPr>
      </w:pPr>
      <w:r w:rsidRPr="009E6868">
        <w:rPr>
          <w:rFonts w:ascii="Times New Roman" w:hAnsi="Times New Roman" w:cs="Times New Roman"/>
        </w:rPr>
        <w:t>prof. dr hab. Adam Krętowski</w:t>
      </w:r>
    </w:p>
    <w:sectPr w:rsidR="008A6E8C" w:rsidRPr="009E6868" w:rsidSect="005845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4AB"/>
    <w:multiLevelType w:val="hybridMultilevel"/>
    <w:tmpl w:val="8C3E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D33B1"/>
    <w:multiLevelType w:val="hybridMultilevel"/>
    <w:tmpl w:val="A9220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A9B"/>
    <w:multiLevelType w:val="hybridMultilevel"/>
    <w:tmpl w:val="84CAC92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18007B"/>
    <w:multiLevelType w:val="hybridMultilevel"/>
    <w:tmpl w:val="36D04B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0A4260"/>
    <w:multiLevelType w:val="hybridMultilevel"/>
    <w:tmpl w:val="313E6F78"/>
    <w:lvl w:ilvl="0" w:tplc="EEF4867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94B54"/>
    <w:multiLevelType w:val="hybridMultilevel"/>
    <w:tmpl w:val="41DE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331"/>
    <w:multiLevelType w:val="hybridMultilevel"/>
    <w:tmpl w:val="DACA0506"/>
    <w:lvl w:ilvl="0" w:tplc="6B5ADD84">
      <w:start w:val="1"/>
      <w:numFmt w:val="decimal"/>
      <w:lvlText w:val="%1."/>
      <w:lvlJc w:val="right"/>
      <w:pPr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7767A56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9D273C"/>
    <w:multiLevelType w:val="hybridMultilevel"/>
    <w:tmpl w:val="B9E2CC36"/>
    <w:lvl w:ilvl="0" w:tplc="97981970">
      <w:start w:val="1"/>
      <w:numFmt w:val="decimal"/>
      <w:lvlText w:val="%1."/>
      <w:lvlJc w:val="left"/>
      <w:pPr>
        <w:ind w:left="218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1173FC3"/>
    <w:multiLevelType w:val="hybridMultilevel"/>
    <w:tmpl w:val="BEE61536"/>
    <w:lvl w:ilvl="0" w:tplc="B59E0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8DA"/>
    <w:multiLevelType w:val="hybridMultilevel"/>
    <w:tmpl w:val="7E0ABC82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7524B1B"/>
    <w:multiLevelType w:val="hybridMultilevel"/>
    <w:tmpl w:val="18F282D0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6122E5"/>
    <w:multiLevelType w:val="hybridMultilevel"/>
    <w:tmpl w:val="A25C1162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215E7"/>
    <w:multiLevelType w:val="hybridMultilevel"/>
    <w:tmpl w:val="05700DEC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46E9A"/>
    <w:multiLevelType w:val="hybridMultilevel"/>
    <w:tmpl w:val="D7A45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79A"/>
    <w:multiLevelType w:val="hybridMultilevel"/>
    <w:tmpl w:val="E9CE12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C44C0A"/>
    <w:multiLevelType w:val="hybridMultilevel"/>
    <w:tmpl w:val="F6A4B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59DF"/>
    <w:multiLevelType w:val="hybridMultilevel"/>
    <w:tmpl w:val="13A86704"/>
    <w:lvl w:ilvl="0" w:tplc="04150011">
      <w:start w:val="1"/>
      <w:numFmt w:val="decimal"/>
      <w:lvlText w:val="%1)"/>
      <w:lvlJc w:val="left"/>
      <w:pPr>
        <w:ind w:left="21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AD56420"/>
    <w:multiLevelType w:val="hybridMultilevel"/>
    <w:tmpl w:val="C0C259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8EF"/>
    <w:multiLevelType w:val="hybridMultilevel"/>
    <w:tmpl w:val="385CA618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130A4"/>
    <w:multiLevelType w:val="hybridMultilevel"/>
    <w:tmpl w:val="9BE4E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8446BF"/>
    <w:multiLevelType w:val="hybridMultilevel"/>
    <w:tmpl w:val="DFB22D76"/>
    <w:lvl w:ilvl="0" w:tplc="A298455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9E0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21"/>
  </w:num>
  <w:num w:numId="16">
    <w:abstractNumId w:val="2"/>
  </w:num>
  <w:num w:numId="17">
    <w:abstractNumId w:val="11"/>
  </w:num>
  <w:num w:numId="18">
    <w:abstractNumId w:val="10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6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11"/>
    <w:rsid w:val="0001413C"/>
    <w:rsid w:val="0001577B"/>
    <w:rsid w:val="00035B32"/>
    <w:rsid w:val="00065A5B"/>
    <w:rsid w:val="00067842"/>
    <w:rsid w:val="000E5223"/>
    <w:rsid w:val="00126256"/>
    <w:rsid w:val="00140900"/>
    <w:rsid w:val="00171414"/>
    <w:rsid w:val="001F5907"/>
    <w:rsid w:val="00243302"/>
    <w:rsid w:val="002547EC"/>
    <w:rsid w:val="002A13B9"/>
    <w:rsid w:val="002A78AD"/>
    <w:rsid w:val="0032006F"/>
    <w:rsid w:val="00354657"/>
    <w:rsid w:val="003F6A7A"/>
    <w:rsid w:val="00426BE3"/>
    <w:rsid w:val="004372A6"/>
    <w:rsid w:val="00476513"/>
    <w:rsid w:val="00495F1F"/>
    <w:rsid w:val="004E5FD4"/>
    <w:rsid w:val="0058458C"/>
    <w:rsid w:val="00766481"/>
    <w:rsid w:val="00804856"/>
    <w:rsid w:val="00813311"/>
    <w:rsid w:val="00875BE6"/>
    <w:rsid w:val="0087660E"/>
    <w:rsid w:val="008A6E8C"/>
    <w:rsid w:val="008C0246"/>
    <w:rsid w:val="008D50A8"/>
    <w:rsid w:val="009019AC"/>
    <w:rsid w:val="00902FC6"/>
    <w:rsid w:val="00953B4F"/>
    <w:rsid w:val="009C761C"/>
    <w:rsid w:val="009D60DF"/>
    <w:rsid w:val="009E2F57"/>
    <w:rsid w:val="009E34BB"/>
    <w:rsid w:val="009E6868"/>
    <w:rsid w:val="00A11190"/>
    <w:rsid w:val="00A53519"/>
    <w:rsid w:val="00AA2E8E"/>
    <w:rsid w:val="00AD503C"/>
    <w:rsid w:val="00B32919"/>
    <w:rsid w:val="00B5072C"/>
    <w:rsid w:val="00B756FA"/>
    <w:rsid w:val="00BC5DF0"/>
    <w:rsid w:val="00C30FDC"/>
    <w:rsid w:val="00C3141B"/>
    <w:rsid w:val="00C82A98"/>
    <w:rsid w:val="00C82AF8"/>
    <w:rsid w:val="00CA2110"/>
    <w:rsid w:val="00CA3812"/>
    <w:rsid w:val="00CA44E6"/>
    <w:rsid w:val="00D4504D"/>
    <w:rsid w:val="00D55BE6"/>
    <w:rsid w:val="00D92183"/>
    <w:rsid w:val="00DF5034"/>
    <w:rsid w:val="00E665BB"/>
    <w:rsid w:val="00EE146A"/>
    <w:rsid w:val="00F20E32"/>
    <w:rsid w:val="00FA5CC1"/>
    <w:rsid w:val="00FA7856"/>
    <w:rsid w:val="00FB113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11BA-03B0-4ACB-B730-B56A6D3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2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223"/>
  </w:style>
  <w:style w:type="paragraph" w:styleId="Bezodstpw">
    <w:name w:val="No Spacing"/>
    <w:uiPriority w:val="1"/>
    <w:qFormat/>
    <w:rsid w:val="000E5223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E522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47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47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5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Chodecka</dc:creator>
  <cp:lastModifiedBy>Emilia</cp:lastModifiedBy>
  <cp:revision>5</cp:revision>
  <cp:lastPrinted>2017-05-30T11:26:00Z</cp:lastPrinted>
  <dcterms:created xsi:type="dcterms:W3CDTF">2018-05-23T07:38:00Z</dcterms:created>
  <dcterms:modified xsi:type="dcterms:W3CDTF">2018-05-30T13:29:00Z</dcterms:modified>
</cp:coreProperties>
</file>