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E4" w:rsidRDefault="001A27E4" w:rsidP="001A27E4">
      <w:pPr>
        <w:ind w:left="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1A27E4" w:rsidRPr="002424CF" w:rsidRDefault="001A27E4" w:rsidP="001A27E4">
      <w:pPr>
        <w:ind w:left="0"/>
        <w:jc w:val="right"/>
        <w:rPr>
          <w:sz w:val="20"/>
          <w:szCs w:val="20"/>
        </w:rPr>
      </w:pPr>
      <w:r w:rsidRPr="002424CF">
        <w:rPr>
          <w:sz w:val="20"/>
          <w:szCs w:val="20"/>
        </w:rPr>
        <w:t>do Zasad</w:t>
      </w:r>
      <w:r>
        <w:rPr>
          <w:sz w:val="20"/>
          <w:szCs w:val="20"/>
        </w:rPr>
        <w:t xml:space="preserve"> </w:t>
      </w:r>
      <w:r w:rsidRPr="002424CF">
        <w:rPr>
          <w:sz w:val="20"/>
          <w:szCs w:val="20"/>
        </w:rPr>
        <w:t>(Polityki) Rachunkowości</w:t>
      </w:r>
    </w:p>
    <w:p w:rsidR="001A27E4" w:rsidRDefault="001A27E4" w:rsidP="001A27E4">
      <w:pPr>
        <w:ind w:left="0"/>
        <w:contextualSpacing/>
        <w:jc w:val="right"/>
        <w:rPr>
          <w:b/>
          <w:sz w:val="24"/>
          <w:szCs w:val="24"/>
        </w:rPr>
      </w:pPr>
    </w:p>
    <w:p w:rsidR="001A27E4" w:rsidRPr="00B65A47" w:rsidRDefault="001A27E4" w:rsidP="001A27E4">
      <w:pPr>
        <w:pStyle w:val="Akapitzlist"/>
        <w:numPr>
          <w:ilvl w:val="0"/>
          <w:numId w:val="1"/>
        </w:numPr>
        <w:spacing w:before="0" w:beforeAutospacing="0" w:after="200" w:afterAutospacing="0" w:line="276" w:lineRule="auto"/>
        <w:rPr>
          <w:sz w:val="24"/>
          <w:szCs w:val="24"/>
        </w:rPr>
      </w:pPr>
      <w:r w:rsidRPr="00364B51">
        <w:rPr>
          <w:sz w:val="24"/>
          <w:szCs w:val="24"/>
        </w:rPr>
        <w:t xml:space="preserve">Rozliczanie kosztów  pośrednich  obejmujących  </w:t>
      </w:r>
      <w:r>
        <w:rPr>
          <w:sz w:val="24"/>
          <w:szCs w:val="24"/>
        </w:rPr>
        <w:t xml:space="preserve">narzut </w:t>
      </w:r>
      <w:r w:rsidR="00152274">
        <w:rPr>
          <w:sz w:val="24"/>
          <w:szCs w:val="24"/>
        </w:rPr>
        <w:t>kosztów</w:t>
      </w:r>
      <w:r w:rsidRPr="00364B51">
        <w:rPr>
          <w:sz w:val="24"/>
          <w:szCs w:val="24"/>
        </w:rPr>
        <w:t xml:space="preserve"> jednostek międzywydziałowych odbywa się w okresach miesięcznych w rozbiciu na wydziały oraz studia stacjonarne, niestacjonarne i w języku angielskim proporcjonalnie do ilości studentów, na podstawie danych wynikających ze sprawozdania sporządzanego na dzień 30 listopada każdego roku.</w:t>
      </w:r>
    </w:p>
    <w:p w:rsidR="001A27E4" w:rsidRPr="00DF5A45" w:rsidRDefault="001A27E4" w:rsidP="001A27E4">
      <w:pPr>
        <w:pStyle w:val="Akapitzlist"/>
        <w:numPr>
          <w:ilvl w:val="0"/>
          <w:numId w:val="1"/>
        </w:numPr>
        <w:spacing w:before="0" w:beforeAutospacing="0" w:after="20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Rozliczanie kosztów pośrednich obejmujących narzut kosztów ogólnozakładowych odbywa się </w:t>
      </w:r>
      <w:r w:rsidRPr="00DF5A45">
        <w:rPr>
          <w:sz w:val="24"/>
          <w:szCs w:val="24"/>
        </w:rPr>
        <w:t xml:space="preserve">w okresach miesięcznych proporcjonalnie do kosztów bezpośrednich poszczególnych rodzajów działalności. </w:t>
      </w:r>
    </w:p>
    <w:p w:rsidR="001A27E4" w:rsidRDefault="001A27E4" w:rsidP="001A27E4">
      <w:pPr>
        <w:pStyle w:val="Akapitzlist"/>
        <w:spacing w:before="0" w:beforeAutospacing="0" w:after="20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Wartości wskaźnika narzutu kosztów pośrednich </w:t>
      </w:r>
      <w:r w:rsidR="00B554AF">
        <w:rPr>
          <w:sz w:val="24"/>
          <w:szCs w:val="24"/>
        </w:rPr>
        <w:t xml:space="preserve">ogólnozakładowych </w:t>
      </w:r>
      <w:r>
        <w:rPr>
          <w:sz w:val="24"/>
          <w:szCs w:val="24"/>
        </w:rPr>
        <w:t>w poszczególnych rodzajach działalności przedstawia poniższa tabela:</w:t>
      </w:r>
    </w:p>
    <w:p w:rsidR="001A27E4" w:rsidRDefault="001A27E4" w:rsidP="001A27E4">
      <w:pPr>
        <w:pStyle w:val="Akapitzlist"/>
        <w:rPr>
          <w:sz w:val="24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4058"/>
        <w:gridCol w:w="977"/>
        <w:gridCol w:w="3880"/>
      </w:tblGrid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LP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 w:rsidRPr="00771F76">
              <w:t>Rodzaj działalności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 w:rsidRPr="00771F76">
              <w:t>MTF Źródło</w:t>
            </w: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 w:rsidRPr="00771F76">
              <w:t>Wskaźnik narzutu kosztów pośrednich do kosztów bezpośrednich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  <w:rPr>
                <w:b/>
              </w:rPr>
            </w:pPr>
            <w:r w:rsidRPr="00771F76">
              <w:rPr>
                <w:b/>
              </w:rPr>
              <w:t>I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  <w:rPr>
                <w:b/>
              </w:rPr>
            </w:pPr>
            <w:r w:rsidRPr="00771F76">
              <w:rPr>
                <w:b/>
              </w:rPr>
              <w:t>Działalność badawcza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</w:pP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1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Działalność badawcza finansowana z dotacji podmiotowej na działalność statutową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51021%</w:t>
            </w:r>
          </w:p>
        </w:tc>
        <w:tc>
          <w:tcPr>
            <w:tcW w:w="3880" w:type="dxa"/>
          </w:tcPr>
          <w:p w:rsidR="001A27E4" w:rsidRPr="00771F76" w:rsidRDefault="000C7A43" w:rsidP="007E5FA4">
            <w:pPr>
              <w:pStyle w:val="Akapitzlist"/>
              <w:ind w:left="0"/>
              <w:jc w:val="center"/>
            </w:pPr>
            <w:r>
              <w:t>30</w:t>
            </w:r>
            <w:r w:rsidR="001A27E4" w:rsidRPr="00771F76">
              <w:t xml:space="preserve">% </w:t>
            </w:r>
          </w:p>
          <w:p w:rsidR="001A27E4" w:rsidRPr="00771F76" w:rsidRDefault="001A27E4" w:rsidP="007E5FA4">
            <w:pPr>
              <w:pStyle w:val="Akapitzlist"/>
              <w:ind w:left="0"/>
              <w:jc w:val="center"/>
            </w:pPr>
          </w:p>
        </w:tc>
      </w:tr>
      <w:tr w:rsidR="001A27E4" w:rsidTr="003C183A">
        <w:trPr>
          <w:trHeight w:val="523"/>
        </w:trPr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2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 xml:space="preserve">Działalność badawcza </w:t>
            </w:r>
            <w:r>
              <w:t>finansowana z dotacji celowej dla młodych naukowców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510220</w:t>
            </w:r>
          </w:p>
        </w:tc>
        <w:tc>
          <w:tcPr>
            <w:tcW w:w="3880" w:type="dxa"/>
          </w:tcPr>
          <w:p w:rsidR="001A27E4" w:rsidRPr="00771F76" w:rsidRDefault="000C7A43" w:rsidP="00B964D8">
            <w:pPr>
              <w:pStyle w:val="Akapitzlist"/>
              <w:ind w:left="0"/>
              <w:jc w:val="center"/>
            </w:pPr>
            <w:r>
              <w:t>30</w:t>
            </w:r>
            <w:r w:rsidR="001A27E4" w:rsidRPr="00771F76">
              <w:t xml:space="preserve">% </w:t>
            </w:r>
          </w:p>
        </w:tc>
      </w:tr>
      <w:tr w:rsidR="001A27E4" w:rsidTr="003C183A">
        <w:tc>
          <w:tcPr>
            <w:tcW w:w="441" w:type="dxa"/>
          </w:tcPr>
          <w:p w:rsidR="001A27E4" w:rsidRDefault="001A27E4" w:rsidP="007E5FA4">
            <w:pPr>
              <w:pStyle w:val="Akapitzlist"/>
              <w:ind w:left="0"/>
            </w:pPr>
            <w:r>
              <w:t>3</w:t>
            </w:r>
          </w:p>
        </w:tc>
        <w:tc>
          <w:tcPr>
            <w:tcW w:w="4058" w:type="dxa"/>
          </w:tcPr>
          <w:p w:rsidR="001A27E4" w:rsidRDefault="001A27E4" w:rsidP="007E5FA4">
            <w:pPr>
              <w:pStyle w:val="Akapitzlist"/>
              <w:ind w:left="0"/>
            </w:pPr>
            <w:r>
              <w:t xml:space="preserve">Działalność badawcza SPUB </w:t>
            </w:r>
          </w:p>
        </w:tc>
        <w:tc>
          <w:tcPr>
            <w:tcW w:w="977" w:type="dxa"/>
          </w:tcPr>
          <w:p w:rsidR="001A27E4" w:rsidRDefault="001A27E4" w:rsidP="007E5FA4">
            <w:pPr>
              <w:pStyle w:val="Akapitzlist"/>
              <w:ind w:left="0"/>
            </w:pPr>
            <w:r>
              <w:t>510230</w:t>
            </w:r>
          </w:p>
        </w:tc>
        <w:tc>
          <w:tcPr>
            <w:tcW w:w="3880" w:type="dxa"/>
          </w:tcPr>
          <w:p w:rsidR="001A27E4" w:rsidRPr="00771F76" w:rsidRDefault="000C7A43" w:rsidP="00B964D8">
            <w:pPr>
              <w:pStyle w:val="Akapitzlist"/>
              <w:ind w:left="0"/>
              <w:jc w:val="center"/>
            </w:pPr>
            <w:r>
              <w:t>30</w:t>
            </w:r>
            <w:r w:rsidR="001A27E4" w:rsidRPr="00771F76">
              <w:t xml:space="preserve">% 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4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Projekty badawcze finansowane ze środków NCN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510250</w:t>
            </w:r>
          </w:p>
        </w:tc>
        <w:tc>
          <w:tcPr>
            <w:tcW w:w="3880" w:type="dxa"/>
          </w:tcPr>
          <w:p w:rsidR="001A27E4" w:rsidRPr="00771F76" w:rsidRDefault="00B964D8" w:rsidP="007E5FA4">
            <w:pPr>
              <w:pStyle w:val="Akapitzlist"/>
              <w:ind w:left="0"/>
              <w:jc w:val="center"/>
            </w:pPr>
            <w:r>
              <w:t>zgodnie z zasadami przyjętymi dla projektów lub wynikającymi z zawartych umów</w:t>
            </w:r>
            <w:r w:rsidRPr="00771F76">
              <w:t xml:space="preserve"> 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5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Projekty badawcze finansowane ze środków NCBR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510240</w:t>
            </w: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>
              <w:t>zgodnie z zasadami przyjętymi dla projektów lub wynikającymi z zawartych umów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6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Dotacja MNSW – stypendium młodego naukowca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510260</w:t>
            </w: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>
              <w:t>bez narzutu kosztów pośrednich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>
              <w:t>7</w:t>
            </w:r>
          </w:p>
        </w:tc>
        <w:tc>
          <w:tcPr>
            <w:tcW w:w="4058" w:type="dxa"/>
          </w:tcPr>
          <w:p w:rsidR="001A27E4" w:rsidRPr="00771F76" w:rsidRDefault="000C7A43" w:rsidP="007E5FA4">
            <w:pPr>
              <w:pStyle w:val="Akapitzlist"/>
              <w:ind w:left="0"/>
            </w:pPr>
            <w:r>
              <w:t xml:space="preserve">Inne projekty finansowane ze środków </w:t>
            </w:r>
            <w:proofErr w:type="spellStart"/>
            <w:r>
              <w:t>MNiSW</w:t>
            </w:r>
            <w:proofErr w:type="spellEnd"/>
          </w:p>
        </w:tc>
        <w:tc>
          <w:tcPr>
            <w:tcW w:w="977" w:type="dxa"/>
          </w:tcPr>
          <w:p w:rsidR="001A27E4" w:rsidRDefault="001A27E4" w:rsidP="007E5FA4">
            <w:pPr>
              <w:pStyle w:val="Akapitzlist"/>
              <w:ind w:left="0"/>
            </w:pPr>
            <w:r>
              <w:t>510261</w:t>
            </w:r>
          </w:p>
          <w:p w:rsidR="000C7A43" w:rsidRPr="00771F76" w:rsidRDefault="000C7A43" w:rsidP="007E5FA4">
            <w:pPr>
              <w:pStyle w:val="Akapitzlist"/>
              <w:ind w:left="0"/>
            </w:pPr>
            <w:r>
              <w:t>510270</w:t>
            </w: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>
              <w:t>zgodnie z zasadami przyjętymi dla projektów lub wynikającymi z zawartych umów</w:t>
            </w:r>
          </w:p>
        </w:tc>
      </w:tr>
      <w:tr w:rsidR="000C7A43" w:rsidTr="003C183A">
        <w:tc>
          <w:tcPr>
            <w:tcW w:w="441" w:type="dxa"/>
          </w:tcPr>
          <w:p w:rsidR="000C7A43" w:rsidRDefault="000C7A43" w:rsidP="007E5FA4">
            <w:pPr>
              <w:pStyle w:val="Akapitzlist"/>
              <w:ind w:left="0"/>
            </w:pPr>
            <w:r>
              <w:t>8</w:t>
            </w:r>
          </w:p>
        </w:tc>
        <w:tc>
          <w:tcPr>
            <w:tcW w:w="4058" w:type="dxa"/>
          </w:tcPr>
          <w:p w:rsidR="000C7A43" w:rsidRDefault="000C7A43" w:rsidP="007E5FA4">
            <w:pPr>
              <w:pStyle w:val="Akapitzlist"/>
              <w:ind w:left="0"/>
            </w:pPr>
            <w:r>
              <w:t xml:space="preserve">Działalność upowszechniająca naukę –dotacja </w:t>
            </w:r>
            <w:proofErr w:type="spellStart"/>
            <w:r>
              <w:t>MNiSW</w:t>
            </w:r>
            <w:proofErr w:type="spellEnd"/>
          </w:p>
        </w:tc>
        <w:tc>
          <w:tcPr>
            <w:tcW w:w="977" w:type="dxa"/>
          </w:tcPr>
          <w:p w:rsidR="000C7A43" w:rsidRDefault="000C7A43" w:rsidP="007E5FA4">
            <w:pPr>
              <w:pStyle w:val="Akapitzlist"/>
              <w:ind w:left="0"/>
            </w:pPr>
            <w:r>
              <w:t>510262</w:t>
            </w:r>
          </w:p>
        </w:tc>
        <w:tc>
          <w:tcPr>
            <w:tcW w:w="3880" w:type="dxa"/>
          </w:tcPr>
          <w:p w:rsidR="000C7A43" w:rsidRDefault="000C7A43" w:rsidP="007E5FA4">
            <w:pPr>
              <w:pStyle w:val="Akapitzlist"/>
              <w:ind w:left="0"/>
              <w:jc w:val="center"/>
            </w:pPr>
            <w:r>
              <w:t>30%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0C7A43" w:rsidP="007E5FA4">
            <w:pPr>
              <w:pStyle w:val="Akapitzlist"/>
              <w:ind w:left="0"/>
            </w:pPr>
            <w:r>
              <w:t>9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Usługowa działalność badawcza,</w:t>
            </w:r>
          </w:p>
          <w:p w:rsidR="001A27E4" w:rsidRDefault="001A27E4" w:rsidP="007E5FA4">
            <w:pPr>
              <w:pStyle w:val="Akapitzlist"/>
              <w:ind w:left="0"/>
            </w:pPr>
          </w:p>
          <w:p w:rsidR="00775425" w:rsidRDefault="00775425" w:rsidP="007E5FA4">
            <w:pPr>
              <w:pStyle w:val="Akapitzlist"/>
              <w:ind w:left="0"/>
            </w:pPr>
            <w:r>
              <w:t>Za wyjątkiem:</w:t>
            </w:r>
          </w:p>
          <w:p w:rsidR="00775425" w:rsidRDefault="00775425" w:rsidP="007E5FA4">
            <w:pPr>
              <w:pStyle w:val="Akapitzlist"/>
              <w:ind w:left="0"/>
            </w:pPr>
            <w:r>
              <w:t>Zakład Medycyny Sądowej</w:t>
            </w:r>
          </w:p>
          <w:p w:rsidR="00775425" w:rsidRPr="00771F76" w:rsidRDefault="00775425" w:rsidP="007E5FA4">
            <w:pPr>
              <w:pStyle w:val="Akapitzlist"/>
              <w:ind w:left="0"/>
            </w:pP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512%</w:t>
            </w:r>
          </w:p>
          <w:p w:rsidR="001A27E4" w:rsidRPr="00771F76" w:rsidRDefault="001A27E4" w:rsidP="007E5FA4">
            <w:pPr>
              <w:pStyle w:val="Akapitzlist"/>
              <w:ind w:left="0"/>
            </w:pPr>
          </w:p>
          <w:p w:rsidR="001A27E4" w:rsidRDefault="001A27E4" w:rsidP="007E5FA4">
            <w:pPr>
              <w:pStyle w:val="Akapitzlist"/>
              <w:ind w:left="0"/>
            </w:pPr>
          </w:p>
          <w:p w:rsidR="00775425" w:rsidRPr="00771F76" w:rsidRDefault="00775425" w:rsidP="007E5FA4">
            <w:pPr>
              <w:pStyle w:val="Akapitzlist"/>
              <w:ind w:left="0"/>
            </w:pPr>
            <w:r>
              <w:t>512801</w:t>
            </w:r>
          </w:p>
        </w:tc>
        <w:tc>
          <w:tcPr>
            <w:tcW w:w="3880" w:type="dxa"/>
          </w:tcPr>
          <w:p w:rsidR="001A27E4" w:rsidRDefault="001A27E4" w:rsidP="000C7A43">
            <w:pPr>
              <w:pStyle w:val="Akapitzlist"/>
              <w:ind w:left="0"/>
              <w:jc w:val="center"/>
            </w:pPr>
            <w:r>
              <w:t>3</w:t>
            </w:r>
            <w:r w:rsidR="00B964D8">
              <w:t>0</w:t>
            </w:r>
            <w:r w:rsidRPr="00771F76">
              <w:t>%</w:t>
            </w:r>
            <w:r w:rsidR="000C7A43">
              <w:t>; lub zgodnie z zasadami przyjętymi w budżetach zaakceptowanych przez instytucje finansujące</w:t>
            </w:r>
          </w:p>
          <w:p w:rsidR="00775425" w:rsidRPr="00771F76" w:rsidRDefault="00775425" w:rsidP="000C7A43">
            <w:pPr>
              <w:pStyle w:val="Akapitzlist"/>
              <w:ind w:left="0"/>
              <w:jc w:val="center"/>
            </w:pPr>
            <w:r>
              <w:t>15%; 25%; 30%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0C7A43" w:rsidP="007E5FA4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4058" w:type="dxa"/>
          </w:tcPr>
          <w:p w:rsidR="001A27E4" w:rsidRDefault="001A27E4" w:rsidP="007E5FA4">
            <w:pPr>
              <w:pStyle w:val="Akapitzlist"/>
              <w:ind w:left="0"/>
            </w:pPr>
            <w:r>
              <w:t xml:space="preserve">Projekty badawcze ze środków pozabudżetowych </w:t>
            </w:r>
          </w:p>
        </w:tc>
        <w:tc>
          <w:tcPr>
            <w:tcW w:w="977" w:type="dxa"/>
          </w:tcPr>
          <w:p w:rsidR="001A27E4" w:rsidRDefault="00F047C6" w:rsidP="007E5FA4">
            <w:pPr>
              <w:pStyle w:val="Akapitzlist"/>
              <w:ind w:left="0"/>
            </w:pPr>
            <w:r>
              <w:t>5117%</w:t>
            </w:r>
          </w:p>
        </w:tc>
        <w:tc>
          <w:tcPr>
            <w:tcW w:w="3880" w:type="dxa"/>
          </w:tcPr>
          <w:p w:rsidR="001A27E4" w:rsidRDefault="00B964D8" w:rsidP="007E5FA4">
            <w:pPr>
              <w:pStyle w:val="Akapitzlist"/>
              <w:ind w:left="0"/>
              <w:jc w:val="center"/>
            </w:pPr>
            <w:r>
              <w:t>30</w:t>
            </w:r>
            <w:r w:rsidR="001A27E4">
              <w:t xml:space="preserve">% </w:t>
            </w:r>
          </w:p>
          <w:p w:rsidR="001A27E4" w:rsidRDefault="001A27E4" w:rsidP="007E5FA4">
            <w:pPr>
              <w:pStyle w:val="Akapitzlist"/>
              <w:ind w:left="0"/>
              <w:jc w:val="center"/>
            </w:pPr>
            <w:r>
              <w:t xml:space="preserve">lub </w:t>
            </w:r>
            <w:r w:rsidR="00B964D8">
              <w:t>zgodnie z zasadami przyjętymi dla projektów lub wynikającymi z zawartych umów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0C7A43" w:rsidP="007E5FA4">
            <w:pPr>
              <w:pStyle w:val="Akapitzlist"/>
              <w:ind w:left="0"/>
            </w:pPr>
            <w:r>
              <w:t>11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Działalność badawcza finansowana ze środków pomocowych</w:t>
            </w:r>
          </w:p>
        </w:tc>
        <w:tc>
          <w:tcPr>
            <w:tcW w:w="977" w:type="dxa"/>
          </w:tcPr>
          <w:p w:rsidR="001A27E4" w:rsidRDefault="001A27E4" w:rsidP="007E5FA4">
            <w:pPr>
              <w:pStyle w:val="Akapitzlist"/>
              <w:ind w:left="0"/>
            </w:pPr>
            <w:r w:rsidRPr="00771F76">
              <w:t>5</w:t>
            </w:r>
            <w:r>
              <w:t>UE4%</w:t>
            </w:r>
          </w:p>
          <w:p w:rsidR="00775425" w:rsidRPr="00771F76" w:rsidRDefault="00775425" w:rsidP="007E5FA4">
            <w:pPr>
              <w:pStyle w:val="Akapitzlist"/>
              <w:ind w:left="0"/>
            </w:pPr>
            <w:r>
              <w:t>0814%</w:t>
            </w: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>
              <w:t>zgodnie z zasa</w:t>
            </w:r>
            <w:r w:rsidR="001417A8">
              <w:t xml:space="preserve">dami przyjętymi dla projektów </w:t>
            </w:r>
            <w:r>
              <w:t>lub wynikającymi z zawartych umów</w:t>
            </w:r>
          </w:p>
        </w:tc>
      </w:tr>
      <w:tr w:rsidR="001A27E4" w:rsidTr="003C183A">
        <w:tc>
          <w:tcPr>
            <w:tcW w:w="441" w:type="dxa"/>
          </w:tcPr>
          <w:p w:rsidR="001A27E4" w:rsidRPr="00775425" w:rsidRDefault="001A27E4" w:rsidP="007E5FA4">
            <w:pPr>
              <w:pStyle w:val="Akapitzlist"/>
              <w:ind w:left="0"/>
              <w:rPr>
                <w:b/>
              </w:rPr>
            </w:pPr>
            <w:r w:rsidRPr="00775425">
              <w:rPr>
                <w:b/>
              </w:rPr>
              <w:lastRenderedPageBreak/>
              <w:t>II</w:t>
            </w:r>
          </w:p>
        </w:tc>
        <w:tc>
          <w:tcPr>
            <w:tcW w:w="4058" w:type="dxa"/>
          </w:tcPr>
          <w:p w:rsidR="001A27E4" w:rsidRPr="00775425" w:rsidRDefault="001A27E4" w:rsidP="007E5FA4">
            <w:pPr>
              <w:pStyle w:val="Akapitzlist"/>
              <w:ind w:left="0"/>
              <w:rPr>
                <w:b/>
              </w:rPr>
            </w:pPr>
            <w:r w:rsidRPr="00775425">
              <w:rPr>
                <w:b/>
              </w:rPr>
              <w:t>Fundusz pomocy materialnej dla studentów i doktorantów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3880" w:type="dxa"/>
          </w:tcPr>
          <w:p w:rsidR="001A27E4" w:rsidRPr="00771F76" w:rsidRDefault="00771645" w:rsidP="007E5FA4">
            <w:pPr>
              <w:pStyle w:val="Akapitzlist"/>
              <w:ind w:left="0"/>
              <w:jc w:val="center"/>
            </w:pPr>
            <w:r>
              <w:t>5</w:t>
            </w:r>
            <w:r w:rsidR="001A27E4" w:rsidRPr="00771F76">
              <w:t>%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  <w:rPr>
                <w:b/>
              </w:rPr>
            </w:pPr>
            <w:r w:rsidRPr="00771F76">
              <w:rPr>
                <w:b/>
              </w:rPr>
              <w:t>III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  <w:rPr>
                <w:b/>
              </w:rPr>
            </w:pPr>
            <w:r w:rsidRPr="00771F76">
              <w:rPr>
                <w:b/>
              </w:rPr>
              <w:t>Działalność dydaktyczna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</w:pP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1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Działalność dydaktyczna realizowana na studiach stacjonarnych</w:t>
            </w:r>
          </w:p>
        </w:tc>
        <w:tc>
          <w:tcPr>
            <w:tcW w:w="977" w:type="dxa"/>
          </w:tcPr>
          <w:p w:rsidR="001A27E4" w:rsidRPr="00771F76" w:rsidRDefault="00775425" w:rsidP="007E5FA4">
            <w:pPr>
              <w:pStyle w:val="Akapitzlist"/>
              <w:ind w:left="0"/>
            </w:pPr>
            <w:r>
              <w:t>5001%</w:t>
            </w:r>
          </w:p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Wskaźnik rzeczywisty wyliczany z wartości pozostających do rozliczenia kosztów ogólnych po dokonaniu ich alokacji na pozostałe rodzaje działalności dydaktycznej , badawczej i utrzymania domów studenta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2</w:t>
            </w:r>
          </w:p>
        </w:tc>
        <w:tc>
          <w:tcPr>
            <w:tcW w:w="4058" w:type="dxa"/>
          </w:tcPr>
          <w:p w:rsidR="001A27E4" w:rsidRPr="00771F76" w:rsidRDefault="001A27E4" w:rsidP="00775425">
            <w:pPr>
              <w:pStyle w:val="Akapitzlist"/>
              <w:ind w:left="0"/>
            </w:pPr>
            <w:r w:rsidRPr="00771F76">
              <w:t xml:space="preserve">Działalność dydaktyczna  realizowana na studiach niestacjonarnych </w:t>
            </w:r>
            <w:r w:rsidR="00775425">
              <w:t>i podyplomowych</w:t>
            </w:r>
          </w:p>
        </w:tc>
        <w:tc>
          <w:tcPr>
            <w:tcW w:w="977" w:type="dxa"/>
          </w:tcPr>
          <w:p w:rsidR="001A27E4" w:rsidRPr="00771F76" w:rsidRDefault="00775425" w:rsidP="007E5FA4">
            <w:pPr>
              <w:pStyle w:val="Akapitzlist"/>
              <w:ind w:left="0"/>
            </w:pPr>
            <w:r>
              <w:t>5015%</w:t>
            </w:r>
          </w:p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 w:rsidRPr="00771F76">
              <w:t>30 %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3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Działalność dydaktyczna realizowana na studiach w jęz. angielskim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502530</w:t>
            </w: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 w:rsidRPr="00771F76">
              <w:t>30 %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4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Działalność dydaktyczna realizowana na  kursach i szkoleniach</w:t>
            </w: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503%</w:t>
            </w:r>
          </w:p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 w:rsidRPr="00771F76">
              <w:t>30 %</w:t>
            </w:r>
          </w:p>
          <w:p w:rsidR="001A27E4" w:rsidRPr="00771F76" w:rsidRDefault="001A27E4" w:rsidP="007E5FA4">
            <w:pPr>
              <w:pStyle w:val="Akapitzlist"/>
              <w:ind w:left="0"/>
            </w:pP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5</w:t>
            </w:r>
          </w:p>
        </w:tc>
        <w:tc>
          <w:tcPr>
            <w:tcW w:w="4058" w:type="dxa"/>
          </w:tcPr>
          <w:p w:rsidR="001A27E4" w:rsidRPr="00771F76" w:rsidRDefault="00775425" w:rsidP="007E5FA4">
            <w:pPr>
              <w:pStyle w:val="Akapitzlist"/>
              <w:ind w:left="0"/>
            </w:pPr>
            <w:r>
              <w:t>P</w:t>
            </w:r>
            <w:r w:rsidR="001A27E4" w:rsidRPr="00771F76">
              <w:t>ozostała działalność dydaktyczna</w:t>
            </w:r>
          </w:p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977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504%</w:t>
            </w:r>
          </w:p>
          <w:p w:rsidR="001A27E4" w:rsidRPr="00771F76" w:rsidRDefault="001A27E4" w:rsidP="007E5FA4">
            <w:pPr>
              <w:pStyle w:val="Akapitzlist"/>
              <w:ind w:left="0"/>
            </w:pPr>
          </w:p>
          <w:p w:rsidR="001A27E4" w:rsidRPr="00771F76" w:rsidRDefault="001A27E4" w:rsidP="007E5FA4">
            <w:pPr>
              <w:pStyle w:val="Akapitzlist"/>
              <w:ind w:left="0"/>
            </w:pPr>
          </w:p>
        </w:tc>
        <w:tc>
          <w:tcPr>
            <w:tcW w:w="3880" w:type="dxa"/>
          </w:tcPr>
          <w:p w:rsidR="001A27E4" w:rsidRPr="00771F76" w:rsidRDefault="001A27E4" w:rsidP="007E5FA4">
            <w:pPr>
              <w:pStyle w:val="Akapitzlist"/>
              <w:ind w:left="0"/>
              <w:jc w:val="center"/>
            </w:pPr>
            <w:r w:rsidRPr="00771F76">
              <w:t>30%</w:t>
            </w:r>
          </w:p>
          <w:p w:rsidR="001A27E4" w:rsidRPr="00771F76" w:rsidRDefault="001A27E4" w:rsidP="00C73161">
            <w:pPr>
              <w:pStyle w:val="Akapitzlist"/>
              <w:ind w:left="0"/>
              <w:jc w:val="center"/>
            </w:pPr>
            <w:r>
              <w:t xml:space="preserve">lub zgodnie z zasadami przyjętymi dla pozostałych dotacji , lub określonymi przez jednostkę finansującą </w:t>
            </w:r>
          </w:p>
        </w:tc>
      </w:tr>
      <w:tr w:rsidR="001A27E4" w:rsidTr="003C183A">
        <w:tc>
          <w:tcPr>
            <w:tcW w:w="441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6</w:t>
            </w:r>
          </w:p>
        </w:tc>
        <w:tc>
          <w:tcPr>
            <w:tcW w:w="4058" w:type="dxa"/>
          </w:tcPr>
          <w:p w:rsidR="001A27E4" w:rsidRPr="00771F76" w:rsidRDefault="001A27E4" w:rsidP="007E5FA4">
            <w:pPr>
              <w:pStyle w:val="Akapitzlist"/>
              <w:ind w:left="0"/>
            </w:pPr>
            <w:r w:rsidRPr="00771F76">
              <w:t>Projekty finansowane ze środków pomocowych</w:t>
            </w:r>
          </w:p>
        </w:tc>
        <w:tc>
          <w:tcPr>
            <w:tcW w:w="977" w:type="dxa"/>
          </w:tcPr>
          <w:p w:rsidR="001A27E4" w:rsidRDefault="001A27E4" w:rsidP="007E5FA4">
            <w:pPr>
              <w:pStyle w:val="Akapitzlist"/>
              <w:ind w:left="0"/>
            </w:pPr>
            <w:r w:rsidRPr="00771F76">
              <w:t>5</w:t>
            </w:r>
            <w:r>
              <w:t>UE</w:t>
            </w:r>
            <w:r w:rsidRPr="00771F76">
              <w:t>4%</w:t>
            </w:r>
          </w:p>
          <w:p w:rsidR="00775425" w:rsidRPr="00771F76" w:rsidRDefault="00775425" w:rsidP="007E5FA4">
            <w:pPr>
              <w:pStyle w:val="Akapitzlist"/>
              <w:ind w:left="0"/>
            </w:pPr>
            <w:r>
              <w:t>0814%</w:t>
            </w:r>
          </w:p>
        </w:tc>
        <w:tc>
          <w:tcPr>
            <w:tcW w:w="3880" w:type="dxa"/>
          </w:tcPr>
          <w:p w:rsidR="001A27E4" w:rsidRPr="00771F76" w:rsidRDefault="001A27E4" w:rsidP="00FA2F4A">
            <w:pPr>
              <w:pStyle w:val="Akapitzlist"/>
              <w:ind w:left="0"/>
              <w:jc w:val="center"/>
            </w:pPr>
            <w:r>
              <w:t>zgodnie z zasadami przy</w:t>
            </w:r>
            <w:r w:rsidR="00FA2F4A">
              <w:t xml:space="preserve">jętymi dla projektów </w:t>
            </w:r>
            <w:r>
              <w:t>lub wynikającymi z zawartych umów</w:t>
            </w:r>
          </w:p>
        </w:tc>
      </w:tr>
    </w:tbl>
    <w:p w:rsidR="001E4BFA" w:rsidRDefault="001E4BFA" w:rsidP="004A5E3B">
      <w:pPr>
        <w:ind w:left="0"/>
      </w:pPr>
    </w:p>
    <w:p w:rsidR="004A5E3B" w:rsidRPr="001F00A9" w:rsidRDefault="004A5E3B" w:rsidP="00D91836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00A9">
        <w:rPr>
          <w:sz w:val="24"/>
          <w:szCs w:val="24"/>
        </w:rPr>
        <w:t xml:space="preserve">Powyższe stawki i sposoby rozliczeń obowiązują </w:t>
      </w:r>
      <w:r w:rsidR="0076545B" w:rsidRPr="001F00A9">
        <w:rPr>
          <w:sz w:val="24"/>
          <w:szCs w:val="24"/>
        </w:rPr>
        <w:t xml:space="preserve">również </w:t>
      </w:r>
      <w:r w:rsidRPr="001F00A9">
        <w:rPr>
          <w:sz w:val="24"/>
          <w:szCs w:val="24"/>
        </w:rPr>
        <w:t>do przygotowywania planowanych kalkulacji kosztów w poszczególnych dziedzinach działalności Uniwersytetu Medycznego w Białymstoku. W przypadku potrzeby skalkulowania kosztu działalności nie ujętego w niniejszym Załączniku, stosuje się wskaźnik narzutu 30%.</w:t>
      </w:r>
    </w:p>
    <w:p w:rsidR="004A5E3B" w:rsidRPr="001F00A9" w:rsidRDefault="004A5E3B" w:rsidP="00D91836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F00A9">
        <w:rPr>
          <w:sz w:val="24"/>
          <w:szCs w:val="24"/>
        </w:rPr>
        <w:t>W szczególnych przypadkach za zgodą Rektora wysokość stawki narzutów kosztów pośrednich może być obniżona/podwyższona bądź też ustalona w innej formie np. ryczałtu.</w:t>
      </w:r>
    </w:p>
    <w:sectPr w:rsidR="004A5E3B" w:rsidRPr="001F00A9" w:rsidSect="0077542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E07"/>
    <w:multiLevelType w:val="hybridMultilevel"/>
    <w:tmpl w:val="1F5C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E4"/>
    <w:rsid w:val="00050221"/>
    <w:rsid w:val="000C7A43"/>
    <w:rsid w:val="00130513"/>
    <w:rsid w:val="001417A8"/>
    <w:rsid w:val="00152274"/>
    <w:rsid w:val="001A27E4"/>
    <w:rsid w:val="001E4BFA"/>
    <w:rsid w:val="001F00A9"/>
    <w:rsid w:val="00281E8A"/>
    <w:rsid w:val="003C183A"/>
    <w:rsid w:val="004A5E3B"/>
    <w:rsid w:val="00582D8D"/>
    <w:rsid w:val="00623439"/>
    <w:rsid w:val="0076545B"/>
    <w:rsid w:val="00771645"/>
    <w:rsid w:val="00775425"/>
    <w:rsid w:val="00B554AF"/>
    <w:rsid w:val="00B964D8"/>
    <w:rsid w:val="00C73161"/>
    <w:rsid w:val="00D91836"/>
    <w:rsid w:val="00EE354C"/>
    <w:rsid w:val="00F047C6"/>
    <w:rsid w:val="00F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3FB56-447A-4DA3-B16F-52E6E3B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7E4"/>
    <w:pPr>
      <w:spacing w:before="100" w:beforeAutospacing="1" w:after="100" w:afterAutospacing="1" w:line="240" w:lineRule="auto"/>
      <w:ind w:left="63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7E4"/>
    <w:pPr>
      <w:ind w:left="720"/>
      <w:contextualSpacing/>
    </w:pPr>
  </w:style>
  <w:style w:type="table" w:styleId="Tabela-Siatka">
    <w:name w:val="Table Grid"/>
    <w:basedOn w:val="Standardowy"/>
    <w:uiPriority w:val="59"/>
    <w:rsid w:val="001A27E4"/>
    <w:pPr>
      <w:spacing w:beforeAutospacing="1" w:after="0" w:afterAutospacing="1" w:line="240" w:lineRule="auto"/>
      <w:ind w:left="63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2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</cp:lastModifiedBy>
  <cp:revision>3</cp:revision>
  <cp:lastPrinted>2018-01-09T08:20:00Z</cp:lastPrinted>
  <dcterms:created xsi:type="dcterms:W3CDTF">2018-01-09T08:21:00Z</dcterms:created>
  <dcterms:modified xsi:type="dcterms:W3CDTF">2018-01-09T08:21:00Z</dcterms:modified>
</cp:coreProperties>
</file>