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42" w:rsidRDefault="007F7C42" w:rsidP="007F7C42">
      <w:pPr>
        <w:tabs>
          <w:tab w:val="left" w:pos="6521"/>
        </w:tabs>
        <w:spacing w:after="40" w:line="240" w:lineRule="auto"/>
        <w:jc w:val="right"/>
        <w:outlineLvl w:val="0"/>
        <w:rPr>
          <w:rFonts w:eastAsia="Times New Roman"/>
          <w:lang w:eastAsia="pl-PL"/>
        </w:rPr>
      </w:pPr>
      <w:r w:rsidRPr="007F7C42">
        <w:rPr>
          <w:rFonts w:eastAsia="Times New Roman"/>
          <w:lang w:eastAsia="pl-PL"/>
        </w:rPr>
        <w:t>Załącznik nr 3</w:t>
      </w:r>
    </w:p>
    <w:p w:rsidR="00244C7C" w:rsidRPr="00244C7C" w:rsidRDefault="00244C7C" w:rsidP="00244C7C">
      <w:pPr>
        <w:tabs>
          <w:tab w:val="left" w:pos="6521"/>
        </w:tabs>
        <w:spacing w:after="40" w:line="240" w:lineRule="auto"/>
        <w:jc w:val="right"/>
        <w:outlineLvl w:val="0"/>
        <w:rPr>
          <w:rFonts w:eastAsia="Times New Roman"/>
          <w:lang w:eastAsia="pl-PL"/>
        </w:rPr>
      </w:pPr>
      <w:r w:rsidRPr="00244C7C">
        <w:rPr>
          <w:rFonts w:eastAsia="Times New Roman"/>
          <w:lang w:eastAsia="pl-PL"/>
        </w:rPr>
        <w:t xml:space="preserve">do Uchwały Senatu nr </w:t>
      </w:r>
      <w:r w:rsidR="00903BBC">
        <w:rPr>
          <w:rFonts w:eastAsia="Times New Roman"/>
          <w:lang w:eastAsia="pl-PL"/>
        </w:rPr>
        <w:t>63/2016</w:t>
      </w:r>
      <w:r w:rsidRPr="00244C7C">
        <w:rPr>
          <w:rFonts w:eastAsia="Times New Roman"/>
          <w:lang w:eastAsia="pl-PL"/>
        </w:rPr>
        <w:t xml:space="preserve"> z dnia </w:t>
      </w:r>
      <w:r w:rsidR="00903BBC">
        <w:rPr>
          <w:rFonts w:eastAsia="Times New Roman"/>
          <w:lang w:eastAsia="pl-PL"/>
        </w:rPr>
        <w:t>30.05.2016</w:t>
      </w:r>
      <w:bookmarkStart w:id="0" w:name="_GoBack"/>
      <w:bookmarkEnd w:id="0"/>
    </w:p>
    <w:p w:rsidR="00244C7C" w:rsidRPr="007F7C42" w:rsidRDefault="00244C7C" w:rsidP="007F7C42">
      <w:pPr>
        <w:tabs>
          <w:tab w:val="left" w:pos="6521"/>
        </w:tabs>
        <w:spacing w:after="40" w:line="240" w:lineRule="auto"/>
        <w:jc w:val="right"/>
        <w:outlineLvl w:val="0"/>
        <w:rPr>
          <w:rFonts w:eastAsia="Times New Roman"/>
          <w:lang w:eastAsia="pl-PL"/>
        </w:rPr>
      </w:pPr>
    </w:p>
    <w:p w:rsidR="00117B1B" w:rsidRPr="009D7DC3" w:rsidRDefault="00117B1B" w:rsidP="00117B1B">
      <w:pPr>
        <w:tabs>
          <w:tab w:val="left" w:pos="6521"/>
        </w:tabs>
        <w:spacing w:after="40" w:line="240" w:lineRule="auto"/>
        <w:outlineLvl w:val="0"/>
      </w:pPr>
    </w:p>
    <w:p w:rsidR="00117B1B" w:rsidRPr="009D7DC3" w:rsidRDefault="00117B1B" w:rsidP="00117B1B">
      <w:pPr>
        <w:tabs>
          <w:tab w:val="left" w:pos="6521"/>
        </w:tabs>
        <w:spacing w:after="120" w:line="240" w:lineRule="auto"/>
        <w:jc w:val="center"/>
        <w:outlineLvl w:val="0"/>
        <w:rPr>
          <w:b/>
        </w:rPr>
      </w:pPr>
      <w:r w:rsidRPr="009D7DC3">
        <w:rPr>
          <w:b/>
        </w:rPr>
        <w:t xml:space="preserve">PROGRAM </w:t>
      </w:r>
    </w:p>
    <w:p w:rsidR="00117B1B" w:rsidRPr="009D7DC3" w:rsidRDefault="00117B1B" w:rsidP="00117B1B">
      <w:pPr>
        <w:tabs>
          <w:tab w:val="left" w:pos="6521"/>
        </w:tabs>
        <w:spacing w:after="120" w:line="240" w:lineRule="auto"/>
        <w:jc w:val="center"/>
        <w:outlineLvl w:val="0"/>
        <w:rPr>
          <w:b/>
        </w:rPr>
      </w:pPr>
      <w:r w:rsidRPr="009D7DC3">
        <w:rPr>
          <w:b/>
        </w:rPr>
        <w:t>STUDIÓW PODYPLOMOWYCH</w:t>
      </w:r>
    </w:p>
    <w:p w:rsidR="00117B1B" w:rsidRPr="009D7DC3" w:rsidRDefault="00117B1B" w:rsidP="00117B1B">
      <w:pPr>
        <w:tabs>
          <w:tab w:val="left" w:pos="6521"/>
        </w:tabs>
        <w:spacing w:after="120" w:line="240" w:lineRule="auto"/>
        <w:jc w:val="center"/>
        <w:rPr>
          <w:b/>
        </w:rPr>
      </w:pPr>
    </w:p>
    <w:p w:rsidR="00117B1B" w:rsidRPr="009D7DC3" w:rsidRDefault="00117B1B" w:rsidP="00117B1B">
      <w:pPr>
        <w:pStyle w:val="Akapitzlist1"/>
        <w:tabs>
          <w:tab w:val="left" w:pos="6521"/>
        </w:tabs>
        <w:spacing w:after="120" w:line="240" w:lineRule="auto"/>
        <w:ind w:left="0"/>
        <w:rPr>
          <w:b/>
        </w:rPr>
      </w:pPr>
      <w:r w:rsidRPr="009D7DC3">
        <w:rPr>
          <w:b/>
        </w:rPr>
        <w:t>I. INFORMACJE OGÓLNE</w:t>
      </w:r>
    </w:p>
    <w:p w:rsidR="00117B1B" w:rsidRPr="009D7DC3" w:rsidRDefault="00117B1B" w:rsidP="00117B1B">
      <w:pPr>
        <w:pStyle w:val="Akapitzlist1"/>
        <w:tabs>
          <w:tab w:val="left" w:pos="6521"/>
        </w:tabs>
        <w:spacing w:after="120" w:line="240" w:lineRule="auto"/>
        <w:ind w:left="1080"/>
        <w:rPr>
          <w:b/>
        </w:rPr>
      </w:pPr>
    </w:p>
    <w:p w:rsidR="00117B1B" w:rsidRPr="009D7DC3" w:rsidRDefault="00117B1B" w:rsidP="00037DA1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</w:pPr>
      <w:r w:rsidRPr="009D7DC3">
        <w:t xml:space="preserve">Nazwa jednostki prowadzącej studia podyplomowe: </w:t>
      </w:r>
      <w:r w:rsidRPr="009D7DC3">
        <w:rPr>
          <w:b/>
        </w:rPr>
        <w:t>Wydział Nauk o Zdrowiu UMB</w:t>
      </w:r>
    </w:p>
    <w:p w:rsidR="00597E1B" w:rsidRDefault="00117B1B" w:rsidP="00A61CA3">
      <w:pPr>
        <w:jc w:val="both"/>
        <w:rPr>
          <w:b/>
          <w:bCs/>
        </w:rPr>
      </w:pPr>
      <w:r w:rsidRPr="009D7DC3">
        <w:t xml:space="preserve">Nazwa studiów podyplomowych: </w:t>
      </w:r>
      <w:r w:rsidR="00597E1B" w:rsidRPr="009D7DC3">
        <w:rPr>
          <w:b/>
          <w:bCs/>
        </w:rPr>
        <w:t xml:space="preserve">Transkulturowość w </w:t>
      </w:r>
      <w:r w:rsidR="00A61CA3">
        <w:rPr>
          <w:b/>
          <w:bCs/>
        </w:rPr>
        <w:t xml:space="preserve">interdyscyplinarnej </w:t>
      </w:r>
      <w:r w:rsidR="00597E1B" w:rsidRPr="009D7DC3">
        <w:rPr>
          <w:b/>
          <w:bCs/>
        </w:rPr>
        <w:t xml:space="preserve">opiece medycznej </w:t>
      </w:r>
    </w:p>
    <w:p w:rsidR="00117B1B" w:rsidRPr="00FC76F6" w:rsidRDefault="00117B1B" w:rsidP="00117B1B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120" w:line="240" w:lineRule="auto"/>
      </w:pPr>
      <w:r w:rsidRPr="009D7DC3">
        <w:t xml:space="preserve">Czas trwania studiów podyplomowych: </w:t>
      </w:r>
      <w:r w:rsidRPr="009D7DC3">
        <w:rPr>
          <w:b/>
        </w:rPr>
        <w:t xml:space="preserve">1 rok akademicki </w:t>
      </w:r>
    </w:p>
    <w:p w:rsidR="00FC76F6" w:rsidRPr="009D7DC3" w:rsidRDefault="00FC76F6" w:rsidP="00FC76F6">
      <w:pPr>
        <w:pStyle w:val="Akapitzlist1"/>
        <w:tabs>
          <w:tab w:val="right" w:leader="dot" w:pos="9072"/>
        </w:tabs>
        <w:spacing w:after="120" w:line="240" w:lineRule="auto"/>
        <w:ind w:left="360"/>
      </w:pPr>
    </w:p>
    <w:p w:rsidR="00117B1B" w:rsidRDefault="00117B1B" w:rsidP="00117B1B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120" w:line="240" w:lineRule="auto"/>
      </w:pPr>
      <w:r w:rsidRPr="009D7DC3">
        <w:t xml:space="preserve">Założenia ogólne: </w:t>
      </w:r>
    </w:p>
    <w:p w:rsidR="00A54BA6" w:rsidRDefault="007B315D" w:rsidP="007B315D">
      <w:pPr>
        <w:pStyle w:val="NormalnyWeb"/>
        <w:spacing w:before="0" w:beforeAutospacing="0" w:after="0"/>
        <w:ind w:firstLine="357"/>
        <w:jc w:val="both"/>
      </w:pPr>
      <w:r>
        <w:t xml:space="preserve">       </w:t>
      </w:r>
      <w:r w:rsidRPr="00E02D05">
        <w:t xml:space="preserve">Trudności o charakterze kulturowym, jakie pojawiają się w procesie budowania relacji personelu medycznego i pacjenta obcokrajowca, są tym większe, im niższy jest stopień kompetencji kulturowej leczącego i leczonego. </w:t>
      </w:r>
    </w:p>
    <w:p w:rsidR="007B315D" w:rsidRDefault="00A54BA6" w:rsidP="007B315D">
      <w:pPr>
        <w:pStyle w:val="NormalnyWeb"/>
        <w:spacing w:before="0" w:beforeAutospacing="0" w:after="0"/>
        <w:ind w:firstLine="357"/>
        <w:jc w:val="both"/>
      </w:pPr>
      <w:r>
        <w:t xml:space="preserve">       </w:t>
      </w:r>
      <w:r w:rsidR="007B315D" w:rsidRPr="00E02D05">
        <w:t>Przekonania, praktyki i różnice kulturowe dotyczą nie tylko preferowanych strategii radzenia sobie z tymi problemami, ale w znacz</w:t>
      </w:r>
      <w:r w:rsidR="007B315D">
        <w:t>ny</w:t>
      </w:r>
      <w:r w:rsidR="007B315D" w:rsidRPr="00E02D05">
        <w:t xml:space="preserve"> sposób wpływają na przebieg leczenia oraz kształtują definicje i interpretacje problemu, formułowane nie tylko przez pacjenta, ale także przez personel medyczny.</w:t>
      </w:r>
      <w:r w:rsidR="007B315D">
        <w:t xml:space="preserve"> </w:t>
      </w:r>
    </w:p>
    <w:p w:rsidR="007B315D" w:rsidRDefault="007B315D" w:rsidP="007B315D">
      <w:pPr>
        <w:pStyle w:val="NormalnyWeb"/>
        <w:spacing w:before="0" w:beforeAutospacing="0" w:after="0"/>
        <w:ind w:firstLine="357"/>
        <w:jc w:val="both"/>
        <w:rPr>
          <w:bCs/>
        </w:rPr>
      </w:pPr>
      <w:r>
        <w:t xml:space="preserve">      </w:t>
      </w:r>
      <w:r w:rsidRPr="00E02D05">
        <w:t>Celem studiów</w:t>
      </w:r>
      <w:r>
        <w:t xml:space="preserve"> będzie </w:t>
      </w:r>
      <w:r w:rsidRPr="00E02D05">
        <w:t xml:space="preserve"> dostarczenie pracownikom  ochrony zdrowia wiedzy na temat </w:t>
      </w:r>
      <w:r w:rsidRPr="00E02D05">
        <w:rPr>
          <w:bCs/>
        </w:rPr>
        <w:t xml:space="preserve">  czynników  kulturowych</w:t>
      </w:r>
      <w:r>
        <w:rPr>
          <w:bCs/>
        </w:rPr>
        <w:t>/religijnych</w:t>
      </w:r>
      <w:r w:rsidRPr="00E02D05">
        <w:rPr>
          <w:bCs/>
        </w:rPr>
        <w:t xml:space="preserve"> danej społeczności, aby  odpowiednio je uwzględniali w procesach pl</w:t>
      </w:r>
      <w:r>
        <w:rPr>
          <w:bCs/>
        </w:rPr>
        <w:t xml:space="preserve">anowania i realizowania opieki nad pacjentem. </w:t>
      </w:r>
    </w:p>
    <w:p w:rsidR="007B315D" w:rsidRDefault="007B315D" w:rsidP="007B315D">
      <w:pPr>
        <w:pStyle w:val="NormalnyWeb"/>
        <w:spacing w:before="0" w:beforeAutospacing="0" w:after="0"/>
        <w:ind w:firstLine="357"/>
        <w:jc w:val="both"/>
      </w:pPr>
      <w:r>
        <w:rPr>
          <w:bCs/>
        </w:rPr>
        <w:t xml:space="preserve">      </w:t>
      </w:r>
      <w:r w:rsidRPr="00E02D05">
        <w:t>Grup</w:t>
      </w:r>
      <w:r>
        <w:t>ą</w:t>
      </w:r>
      <w:r w:rsidRPr="00E02D05">
        <w:t xml:space="preserve"> odbiorców </w:t>
      </w:r>
      <w:r>
        <w:t xml:space="preserve">będą </w:t>
      </w:r>
      <w:r w:rsidRPr="00E02D05">
        <w:t>absolwenci kierunku lekarskiego, lekarsko-dentystycznego, pielęgniarstwa</w:t>
      </w:r>
      <w:r w:rsidR="003C775A">
        <w:t xml:space="preserve"> II stopnia</w:t>
      </w:r>
      <w:r w:rsidRPr="00E02D05">
        <w:t>, położnictwa</w:t>
      </w:r>
      <w:r w:rsidR="003C775A">
        <w:t xml:space="preserve"> II stopnia</w:t>
      </w:r>
      <w:r w:rsidRPr="00E02D05">
        <w:t>, dietetyki</w:t>
      </w:r>
      <w:r w:rsidR="003C775A">
        <w:t xml:space="preserve"> II stopnia</w:t>
      </w:r>
      <w:r w:rsidRPr="00E02D05">
        <w:t>, logopedii</w:t>
      </w:r>
      <w:r w:rsidR="003C775A">
        <w:t xml:space="preserve"> II stopnia</w:t>
      </w:r>
      <w:r w:rsidRPr="00E02D05">
        <w:t>, fizjoterapii</w:t>
      </w:r>
      <w:r w:rsidR="003C775A">
        <w:t xml:space="preserve"> II stopnia</w:t>
      </w:r>
      <w:r w:rsidRPr="00E02D05">
        <w:t>, farmacji, analityki medycznej, zdrowia publicznego</w:t>
      </w:r>
      <w:r w:rsidR="003C775A">
        <w:t xml:space="preserve"> II stopnia</w:t>
      </w:r>
      <w:r>
        <w:t>.</w:t>
      </w:r>
    </w:p>
    <w:p w:rsidR="007B315D" w:rsidRPr="00E02D05" w:rsidRDefault="007B315D" w:rsidP="007B315D">
      <w:pPr>
        <w:pStyle w:val="NormalnyWeb"/>
        <w:spacing w:before="0" w:beforeAutospacing="0" w:after="0"/>
        <w:ind w:firstLine="357"/>
        <w:jc w:val="both"/>
      </w:pPr>
    </w:p>
    <w:p w:rsidR="00085664" w:rsidRDefault="001D2DB1" w:rsidP="0013399D">
      <w:pPr>
        <w:pStyle w:val="Akapitzlist1"/>
        <w:tabs>
          <w:tab w:val="right" w:leader="dot" w:pos="9072"/>
        </w:tabs>
        <w:spacing w:after="120" w:line="360" w:lineRule="auto"/>
        <w:jc w:val="both"/>
      </w:pPr>
      <w:r w:rsidRPr="009D7DC3">
        <w:t>Studia obejmują zagadnienia</w:t>
      </w:r>
      <w:r w:rsidR="00085664">
        <w:t>:</w:t>
      </w:r>
    </w:p>
    <w:p w:rsidR="00E05570" w:rsidRPr="00085664" w:rsidRDefault="009D7DC3" w:rsidP="00085664">
      <w:pPr>
        <w:pStyle w:val="Akapitzlist1"/>
        <w:numPr>
          <w:ilvl w:val="0"/>
          <w:numId w:val="8"/>
        </w:numPr>
        <w:tabs>
          <w:tab w:val="right" w:leader="dot" w:pos="9072"/>
        </w:tabs>
        <w:spacing w:after="120" w:line="360" w:lineRule="auto"/>
        <w:jc w:val="both"/>
        <w:rPr>
          <w:u w:val="single"/>
        </w:rPr>
      </w:pPr>
      <w:r w:rsidRPr="00085664">
        <w:rPr>
          <w:u w:val="single"/>
        </w:rPr>
        <w:t xml:space="preserve">z </w:t>
      </w:r>
      <w:r w:rsidR="00085664" w:rsidRPr="00085664">
        <w:rPr>
          <w:u w:val="single"/>
        </w:rPr>
        <w:t>przedmiotów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  <w:rPr>
          <w:rStyle w:val="Pogrubienie"/>
          <w:rFonts w:cs="Times New Roman"/>
          <w:b w:val="0"/>
          <w:bCs w:val="0"/>
          <w:i/>
        </w:rPr>
      </w:pPr>
      <w:r w:rsidRPr="00085664">
        <w:rPr>
          <w:rStyle w:val="Pogrubienie"/>
          <w:rFonts w:cs="Times New Roman"/>
          <w:b w:val="0"/>
        </w:rPr>
        <w:t>Wielokulturowość- konflikt czy koegzystencja?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Kultura i subkultura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Stygmatyzacja pacjenta i choroby w aspekcie historycznym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Stereotypizacja  i stygmatyzacja   podstawy teoretyczne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Uprzedzenia rasowe i religijne oraz ich rola w procesie leczenia i pielęgnowania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Wielokulturowość społeczeństwa polskiego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Charakterystyka wybranych religii świata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Religijność a zdrowie 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Dialog wielokulturowy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Bariery w dostępie  pacjenta  odmiennego  kulturowo  do ochrony zdrowia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Komunikacja międzykulturowa w ochronie zdrowia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Pojęcie zdrowia i choroby wymiarze bio-psycho-społecznym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Uwarunkowania kulturowe  reakcji na zdrowie i chorobę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lastRenderedPageBreak/>
        <w:t>Przesądy, zabobony i praktyki medyczne  na przestrzeni wieków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Znaczenie przekonań religijnych w opiece zdrowotnej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Nierówności społeczne   w dostępie do zdrowia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  <w:rPr>
          <w:i/>
        </w:rPr>
      </w:pPr>
      <w:r w:rsidRPr="00085664">
        <w:t>Kulturowe wyznaczniki jakości życia</w:t>
      </w:r>
      <w:r w:rsidRPr="00085664">
        <w:rPr>
          <w:i/>
        </w:rPr>
        <w:t xml:space="preserve">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Satysfakcja chorego z opieki medycznej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  <w:rPr>
          <w:i/>
        </w:rPr>
      </w:pPr>
      <w:r w:rsidRPr="00085664">
        <w:t xml:space="preserve">Model </w:t>
      </w:r>
      <w:r w:rsidRPr="00085664">
        <w:rPr>
          <w:rStyle w:val="Uwydatnienie"/>
          <w:rFonts w:cs="Times New Roman"/>
          <w:i w:val="0"/>
        </w:rPr>
        <w:t>pielęgniarstwa transkulturowego</w:t>
      </w:r>
      <w:r w:rsidRPr="00085664">
        <w:rPr>
          <w:i/>
        </w:rPr>
        <w:t xml:space="preserve">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Holistyczny model opieki nad chorym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Empatia jako forma komunikacji w codziennej praktyce pracownika ochrony zdrowia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Dylematy etyczne pracowników ochrony zdrowia 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Starość i samotność – transkulturowa analiza wzajemnych powiązań 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Uwarunkowania  kulturowe zaburzeń psychosomatycznych i psychogenne zaburzeń somatycznych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Kulturowe  uwarunkowania zachowań zdrowotnych w rodzinie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Kulturowe uwarunkowania żywieniowe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Kulturowe uwarunkowania w neonatologii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Kulturowe uwarunkowania w pediatrii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Transkulturowa neurologia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Transkulturowa psychiatria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Kulturowe uwarunkowania w ginekologii i położnictwie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Kulturowe uwarunkowania zaburzeń seksualnych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Kulturowe uwarunkowania narkomanii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Kulturowe uwarunkowania  transplantologii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Kulturowe uwarunkowania  transfuzjologii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Kulturowe uwarunkowania eutanazji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Pacjent katolik wobec zagadnień choroby i opieki zdrowotnej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Pacjent prawosławny wobec zagadnień choroby i opieki zdrowotnej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Pacjent wyznający protestantyzm  wobec zagadnień choroby i opieki zdrowotnej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Pacjent wyznający Judaizm wobec zagadnień choroby i opieki zdrowotnej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Pacjent Buddysta i Hinduista wobec zagadnień choroby i opieki zdrowotnej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Opieka medyczna nad pacjentem – Świadkiem Jehowy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Pacjent muzułmański w Polsce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Romowie wobec zagadnień choroby i opieki zdrowotnej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Pacjent ateista wobec zagadnień choroby i opieki zdrowotnej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>Wyznawcy wybranych nowych ruchów religijnych i parareligijnych, jako potencjalni odbiorcy usług medycznych</w:t>
      </w:r>
    </w:p>
    <w:p w:rsidR="00085664" w:rsidRPr="009F6D3F" w:rsidRDefault="00085664" w:rsidP="0008566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  <w:r w:rsidRPr="009F6D3F">
        <w:rPr>
          <w:rFonts w:ascii="Times New Roman" w:hAnsi="Times New Roman" w:cs="Times New Roman"/>
          <w:sz w:val="24"/>
          <w:szCs w:val="24"/>
        </w:rPr>
        <w:t xml:space="preserve">Wybrane ruchy religijne/społeczne, a podejście do śmierci i umierania   </w:t>
      </w:r>
    </w:p>
    <w:p w:rsidR="00085664" w:rsidRPr="00085664" w:rsidRDefault="00085664" w:rsidP="00085664">
      <w:pPr>
        <w:pStyle w:val="Akapitzlist"/>
        <w:numPr>
          <w:ilvl w:val="0"/>
          <w:numId w:val="11"/>
        </w:numPr>
        <w:jc w:val="both"/>
      </w:pPr>
      <w:r w:rsidRPr="00085664">
        <w:t xml:space="preserve">Prawa pacjenta odmiennego kulturowo w ustawodawstwie polskim </w:t>
      </w:r>
    </w:p>
    <w:p w:rsidR="00FC76F6" w:rsidRPr="00085664" w:rsidRDefault="00085664" w:rsidP="00085664">
      <w:pPr>
        <w:pStyle w:val="Akapitzlist"/>
        <w:numPr>
          <w:ilvl w:val="0"/>
          <w:numId w:val="11"/>
        </w:numPr>
        <w:jc w:val="both"/>
        <w:rPr>
          <w:rFonts w:eastAsia="Times New Roman"/>
        </w:rPr>
      </w:pPr>
      <w:r w:rsidRPr="00085664">
        <w:t>Europejska Konwencja o Ochronie Praw Człowieka i Podstawowych  Wolności</w:t>
      </w:r>
    </w:p>
    <w:p w:rsidR="00FC76F6" w:rsidRDefault="00FC76F6" w:rsidP="00FC76F6">
      <w:pPr>
        <w:spacing w:after="0" w:line="240" w:lineRule="auto"/>
      </w:pPr>
    </w:p>
    <w:p w:rsidR="00085664" w:rsidRDefault="00037DA1" w:rsidP="00085664">
      <w:pPr>
        <w:pStyle w:val="Akapitzlist1"/>
        <w:numPr>
          <w:ilvl w:val="0"/>
          <w:numId w:val="8"/>
        </w:numPr>
        <w:tabs>
          <w:tab w:val="right" w:leader="dot" w:pos="9072"/>
        </w:tabs>
        <w:spacing w:after="120" w:line="360" w:lineRule="auto"/>
        <w:jc w:val="both"/>
        <w:rPr>
          <w:u w:val="single"/>
        </w:rPr>
      </w:pPr>
      <w:r>
        <w:rPr>
          <w:u w:val="single"/>
        </w:rPr>
        <w:t>Ćwiczenia (</w:t>
      </w:r>
      <w:r w:rsidR="00085664">
        <w:rPr>
          <w:u w:val="single"/>
        </w:rPr>
        <w:t>Warsztaty</w:t>
      </w:r>
      <w:r>
        <w:rPr>
          <w:u w:val="single"/>
        </w:rPr>
        <w:t>)</w:t>
      </w:r>
    </w:p>
    <w:p w:rsidR="00085664" w:rsidRPr="00085664" w:rsidRDefault="00085664" w:rsidP="00085664">
      <w:pPr>
        <w:pStyle w:val="Akapitzlist1"/>
        <w:numPr>
          <w:ilvl w:val="0"/>
          <w:numId w:val="13"/>
        </w:numPr>
        <w:tabs>
          <w:tab w:val="right" w:leader="dot" w:pos="9072"/>
        </w:tabs>
        <w:spacing w:after="0" w:line="240" w:lineRule="auto"/>
        <w:jc w:val="both"/>
        <w:rPr>
          <w:u w:val="single"/>
        </w:rPr>
      </w:pPr>
      <w:r>
        <w:t>Z</w:t>
      </w:r>
      <w:r w:rsidRPr="00085664">
        <w:t xml:space="preserve"> komunikacji z pacjentem zagranicznym</w:t>
      </w:r>
    </w:p>
    <w:p w:rsidR="00085664" w:rsidRPr="00085664" w:rsidRDefault="00085664" w:rsidP="00085664">
      <w:pPr>
        <w:pStyle w:val="Akapitzlist"/>
        <w:numPr>
          <w:ilvl w:val="0"/>
          <w:numId w:val="13"/>
        </w:numPr>
      </w:pPr>
      <w:r w:rsidRPr="00085664">
        <w:t xml:space="preserve">Z </w:t>
      </w:r>
      <w:r w:rsidRPr="00085664">
        <w:rPr>
          <w:rStyle w:val="st1"/>
        </w:rPr>
        <w:t xml:space="preserve">tradycji i zachowań </w:t>
      </w:r>
      <w:r w:rsidRPr="00085664">
        <w:rPr>
          <w:rStyle w:val="st1"/>
          <w:bCs/>
        </w:rPr>
        <w:t>Tatarów</w:t>
      </w:r>
      <w:r w:rsidRPr="00085664">
        <w:rPr>
          <w:rStyle w:val="st1"/>
        </w:rPr>
        <w:t xml:space="preserve"> Polskich </w:t>
      </w:r>
      <w:r w:rsidR="00037DA1">
        <w:rPr>
          <w:rStyle w:val="st1"/>
        </w:rPr>
        <w:t>(</w:t>
      </w:r>
      <w:r w:rsidRPr="00085664">
        <w:t>Tatarska Jurta Kruszyniany</w:t>
      </w:r>
      <w:r w:rsidR="00037DA1">
        <w:t>)</w:t>
      </w:r>
    </w:p>
    <w:p w:rsidR="00085664" w:rsidRDefault="00085664" w:rsidP="00085664">
      <w:pPr>
        <w:pStyle w:val="Akapitzlist1"/>
        <w:numPr>
          <w:ilvl w:val="0"/>
          <w:numId w:val="13"/>
        </w:numPr>
        <w:tabs>
          <w:tab w:val="right" w:leader="dot" w:pos="9072"/>
        </w:tabs>
        <w:spacing w:after="0" w:line="240" w:lineRule="auto"/>
        <w:jc w:val="both"/>
        <w:rPr>
          <w:rStyle w:val="st1"/>
          <w:bCs/>
        </w:rPr>
      </w:pPr>
      <w:r w:rsidRPr="00085664">
        <w:t xml:space="preserve">Z </w:t>
      </w:r>
      <w:r w:rsidRPr="00085664">
        <w:rPr>
          <w:rStyle w:val="st1"/>
        </w:rPr>
        <w:t xml:space="preserve">tradycji i zachowań </w:t>
      </w:r>
      <w:r w:rsidRPr="00085664">
        <w:rPr>
          <w:rStyle w:val="st1"/>
          <w:bCs/>
        </w:rPr>
        <w:t xml:space="preserve">Judaitów polskich </w:t>
      </w:r>
      <w:r w:rsidR="00037DA1">
        <w:rPr>
          <w:rStyle w:val="st1"/>
          <w:bCs/>
        </w:rPr>
        <w:t>(</w:t>
      </w:r>
      <w:r w:rsidRPr="00085664">
        <w:rPr>
          <w:rStyle w:val="st1"/>
          <w:bCs/>
        </w:rPr>
        <w:t>Tykocin</w:t>
      </w:r>
      <w:r w:rsidR="00037DA1">
        <w:rPr>
          <w:rStyle w:val="st1"/>
          <w:bCs/>
        </w:rPr>
        <w:t>)</w:t>
      </w:r>
    </w:p>
    <w:p w:rsidR="00037DA1" w:rsidRPr="00085664" w:rsidRDefault="00037DA1" w:rsidP="00085664">
      <w:pPr>
        <w:pStyle w:val="Akapitzlist1"/>
        <w:numPr>
          <w:ilvl w:val="0"/>
          <w:numId w:val="13"/>
        </w:numPr>
        <w:tabs>
          <w:tab w:val="right" w:leader="dot" w:pos="9072"/>
        </w:tabs>
        <w:spacing w:after="0" w:line="240" w:lineRule="auto"/>
        <w:jc w:val="both"/>
        <w:rPr>
          <w:rStyle w:val="st1"/>
          <w:bCs/>
        </w:rPr>
      </w:pPr>
      <w:r>
        <w:rPr>
          <w:rStyle w:val="st1"/>
          <w:bCs/>
        </w:rPr>
        <w:t>Z tradycji i zachowań wyznawców prawosławia (Supraśl)</w:t>
      </w:r>
    </w:p>
    <w:p w:rsidR="00085664" w:rsidRPr="00085664" w:rsidRDefault="00085664" w:rsidP="00085664">
      <w:pPr>
        <w:pStyle w:val="Akapitzlist1"/>
        <w:numPr>
          <w:ilvl w:val="0"/>
          <w:numId w:val="13"/>
        </w:numPr>
        <w:tabs>
          <w:tab w:val="right" w:leader="dot" w:pos="9072"/>
        </w:tabs>
        <w:spacing w:after="0" w:line="240" w:lineRule="auto"/>
        <w:jc w:val="both"/>
        <w:rPr>
          <w:u w:val="single"/>
        </w:rPr>
      </w:pPr>
      <w:r w:rsidRPr="00085664">
        <w:t xml:space="preserve">Z  </w:t>
      </w:r>
      <w:r w:rsidRPr="00085664">
        <w:rPr>
          <w:rStyle w:val="st1"/>
        </w:rPr>
        <w:t xml:space="preserve">tradycji i zachowań polskich  Buddystów </w:t>
      </w:r>
      <w:r w:rsidR="00037DA1">
        <w:rPr>
          <w:rStyle w:val="st1"/>
        </w:rPr>
        <w:t>(</w:t>
      </w:r>
      <w:r w:rsidRPr="00085664">
        <w:t>Buddyjski Związek Diamentowej Drogi linii Karma Kagyu w Białymstoku</w:t>
      </w:r>
      <w:r w:rsidR="00037DA1">
        <w:t>)</w:t>
      </w:r>
    </w:p>
    <w:p w:rsidR="00085664" w:rsidRDefault="00085664" w:rsidP="00FC76F6">
      <w:pPr>
        <w:spacing w:after="0" w:line="240" w:lineRule="auto"/>
      </w:pPr>
    </w:p>
    <w:p w:rsidR="00117B1B" w:rsidRPr="00FC76F6" w:rsidRDefault="00117B1B" w:rsidP="00FC76F6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0" w:line="240" w:lineRule="auto"/>
      </w:pPr>
      <w:r w:rsidRPr="00FC76F6">
        <w:t xml:space="preserve">Forma studiów: </w:t>
      </w:r>
      <w:r w:rsidRPr="00FC76F6">
        <w:rPr>
          <w:b/>
        </w:rPr>
        <w:t>niestacjonarny</w:t>
      </w:r>
    </w:p>
    <w:p w:rsidR="00FC76F6" w:rsidRPr="00FC76F6" w:rsidRDefault="00FC76F6" w:rsidP="00FC76F6">
      <w:pPr>
        <w:pStyle w:val="Akapitzlist1"/>
        <w:tabs>
          <w:tab w:val="right" w:leader="dot" w:pos="9072"/>
        </w:tabs>
        <w:spacing w:after="0" w:line="240" w:lineRule="auto"/>
        <w:ind w:left="360"/>
      </w:pPr>
    </w:p>
    <w:p w:rsidR="00117B1B" w:rsidRPr="00FC76F6" w:rsidRDefault="00117B1B" w:rsidP="00FC76F6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0" w:line="240" w:lineRule="auto"/>
      </w:pPr>
      <w:r w:rsidRPr="00FC76F6">
        <w:t xml:space="preserve">Liczba semestrów: </w:t>
      </w:r>
      <w:r w:rsidRPr="00FC76F6">
        <w:rPr>
          <w:b/>
        </w:rPr>
        <w:t>2</w:t>
      </w:r>
    </w:p>
    <w:p w:rsidR="00FC76F6" w:rsidRDefault="00FC76F6" w:rsidP="00FC76F6">
      <w:pPr>
        <w:pStyle w:val="Akapitzlist"/>
      </w:pPr>
    </w:p>
    <w:p w:rsidR="00117B1B" w:rsidRPr="00FC76F6" w:rsidRDefault="00117B1B" w:rsidP="00A33CD2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</w:pPr>
      <w:r w:rsidRPr="00FC76F6">
        <w:t xml:space="preserve">Łączna liczba punktów ECTS konieczna do uzyskania kwalifikacji odpowiadających poziomowi kształcenia: </w:t>
      </w:r>
      <w:r w:rsidR="003C775A">
        <w:rPr>
          <w:b/>
        </w:rPr>
        <w:t>60</w:t>
      </w:r>
    </w:p>
    <w:p w:rsidR="00FC76F6" w:rsidRDefault="00FC76F6" w:rsidP="00FC76F6">
      <w:pPr>
        <w:pStyle w:val="Akapitzlist"/>
      </w:pPr>
    </w:p>
    <w:p w:rsidR="00117B1B" w:rsidRPr="00FC76F6" w:rsidRDefault="00117B1B" w:rsidP="00FC76F6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0" w:line="240" w:lineRule="auto"/>
      </w:pPr>
      <w:r w:rsidRPr="00FC76F6">
        <w:t xml:space="preserve">Łączna liczba godzin dydaktycznych: </w:t>
      </w:r>
      <w:r w:rsidR="00085664">
        <w:rPr>
          <w:b/>
        </w:rPr>
        <w:t>1</w:t>
      </w:r>
      <w:r w:rsidR="00795E3E">
        <w:rPr>
          <w:b/>
        </w:rPr>
        <w:t>10</w:t>
      </w:r>
    </w:p>
    <w:p w:rsidR="00FC76F6" w:rsidRDefault="00FC76F6" w:rsidP="00FC76F6">
      <w:pPr>
        <w:pStyle w:val="Akapitzlist"/>
      </w:pPr>
    </w:p>
    <w:p w:rsidR="00117B1B" w:rsidRPr="00FC76F6" w:rsidRDefault="00117B1B" w:rsidP="00FC76F6">
      <w:pPr>
        <w:pStyle w:val="Akapitzlist1"/>
        <w:numPr>
          <w:ilvl w:val="0"/>
          <w:numId w:val="1"/>
        </w:numPr>
        <w:tabs>
          <w:tab w:val="left" w:pos="6521"/>
        </w:tabs>
        <w:spacing w:after="0" w:line="240" w:lineRule="auto"/>
        <w:rPr>
          <w:b/>
        </w:rPr>
      </w:pPr>
      <w:r w:rsidRPr="00FC76F6">
        <w:t>Program uchwalony na posiedzeniu</w:t>
      </w:r>
      <w:r w:rsidR="00E05570" w:rsidRPr="00FC76F6">
        <w:t xml:space="preserve"> Rady Wydziału Nauk o Zdrowiu</w:t>
      </w:r>
      <w:r w:rsidR="003C775A">
        <w:t xml:space="preserve"> 17.05.2016</w:t>
      </w:r>
    </w:p>
    <w:p w:rsidR="00117B1B" w:rsidRPr="00FC76F6" w:rsidRDefault="00117B1B" w:rsidP="00FC76F6">
      <w:pPr>
        <w:pStyle w:val="Akapitzlist1"/>
        <w:tabs>
          <w:tab w:val="left" w:pos="6521"/>
        </w:tabs>
        <w:spacing w:after="0" w:line="240" w:lineRule="auto"/>
        <w:ind w:left="0"/>
        <w:rPr>
          <w:b/>
        </w:rPr>
      </w:pPr>
    </w:p>
    <w:p w:rsidR="00934648" w:rsidRPr="00FC76F6" w:rsidRDefault="00934648" w:rsidP="00FC76F6">
      <w:pPr>
        <w:pStyle w:val="Akapitzlist1"/>
        <w:tabs>
          <w:tab w:val="left" w:pos="6521"/>
        </w:tabs>
        <w:spacing w:after="0" w:line="240" w:lineRule="auto"/>
        <w:ind w:left="0"/>
        <w:rPr>
          <w:b/>
        </w:rPr>
      </w:pPr>
    </w:p>
    <w:p w:rsidR="00A33CD2" w:rsidRDefault="00A33CD2" w:rsidP="00A33CD2">
      <w:pPr>
        <w:tabs>
          <w:tab w:val="right" w:leader="dot" w:pos="9072"/>
        </w:tabs>
        <w:spacing w:after="12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 w:rsidRPr="00114E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WYMIAR, FORMY I ZASADY ODBYWANIA PRAKTYK ZAWODOWYCH </w:t>
      </w:r>
      <w:r>
        <w:rPr>
          <w:sz w:val="22"/>
          <w:szCs w:val="22"/>
        </w:rPr>
        <w:t>wraz z przyporządkowaną im liczbą punktów ECTS (jeżeli program studiów podyplomowych przewiduje realizację praktyk)</w:t>
      </w:r>
    </w:p>
    <w:p w:rsidR="00A33CD2" w:rsidRDefault="00A33CD2" w:rsidP="00A33CD2">
      <w:p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D95D96">
        <w:rPr>
          <w:sz w:val="22"/>
          <w:szCs w:val="22"/>
        </w:rPr>
        <w:t>program nie przewiduje praktyk zawodowych</w:t>
      </w:r>
    </w:p>
    <w:p w:rsidR="00A54BA6" w:rsidRPr="0086796B" w:rsidRDefault="00A54BA6" w:rsidP="00A33CD2">
      <w:pPr>
        <w:tabs>
          <w:tab w:val="right" w:leader="dot" w:pos="9072"/>
        </w:tabs>
        <w:spacing w:after="120" w:line="240" w:lineRule="auto"/>
        <w:jc w:val="both"/>
        <w:rPr>
          <w:b/>
          <w:sz w:val="22"/>
          <w:szCs w:val="22"/>
        </w:rPr>
      </w:pPr>
    </w:p>
    <w:p w:rsidR="00A33CD2" w:rsidRPr="00C5028F" w:rsidRDefault="00A33CD2" w:rsidP="00A33CD2">
      <w:pPr>
        <w:pStyle w:val="Akapitzlist1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C5028F">
        <w:rPr>
          <w:b/>
          <w:sz w:val="22"/>
          <w:szCs w:val="22"/>
        </w:rPr>
        <w:t>WARUNKI UKOŃCZENIA STUDIÓW</w:t>
      </w:r>
      <w:r>
        <w:rPr>
          <w:b/>
          <w:sz w:val="22"/>
          <w:szCs w:val="22"/>
        </w:rPr>
        <w:t xml:space="preserve"> PODYPLOMOWYCH</w:t>
      </w:r>
    </w:p>
    <w:p w:rsidR="00A33CD2" w:rsidRDefault="00A33CD2" w:rsidP="00A33CD2">
      <w:pPr>
        <w:pStyle w:val="Akapitzlist1"/>
        <w:ind w:left="0"/>
        <w:jc w:val="both"/>
        <w:rPr>
          <w:sz w:val="22"/>
          <w:szCs w:val="22"/>
        </w:rPr>
      </w:pPr>
      <w:r w:rsidRPr="0086796B">
        <w:rPr>
          <w:sz w:val="22"/>
          <w:szCs w:val="22"/>
        </w:rPr>
        <w:t xml:space="preserve">Egzamin końcowy z zakresu wiedzy wykładanej w trakcie trwania studiów, w formie testu wielokrotnego wyboru,  składający  się z 60 pytań testowych </w:t>
      </w:r>
    </w:p>
    <w:p w:rsidR="008203F8" w:rsidRDefault="008203F8" w:rsidP="00A33CD2">
      <w:pPr>
        <w:pStyle w:val="Akapitzlist1"/>
        <w:tabs>
          <w:tab w:val="left" w:pos="6521"/>
        </w:tabs>
        <w:spacing w:after="120" w:line="240" w:lineRule="auto"/>
        <w:ind w:left="0"/>
      </w:pPr>
    </w:p>
    <w:p w:rsidR="00784EA3" w:rsidRDefault="00784EA3" w:rsidP="00A33CD2">
      <w:pPr>
        <w:pStyle w:val="Akapitzlist1"/>
        <w:tabs>
          <w:tab w:val="left" w:pos="6521"/>
        </w:tabs>
        <w:spacing w:after="120" w:line="240" w:lineRule="auto"/>
        <w:ind w:left="0"/>
      </w:pPr>
    </w:p>
    <w:p w:rsidR="00784EA3" w:rsidRDefault="00784EA3" w:rsidP="00A33CD2">
      <w:pPr>
        <w:pStyle w:val="Akapitzlist1"/>
        <w:tabs>
          <w:tab w:val="left" w:pos="6521"/>
        </w:tabs>
        <w:spacing w:after="120" w:line="240" w:lineRule="auto"/>
        <w:ind w:left="0"/>
      </w:pPr>
    </w:p>
    <w:p w:rsidR="00784EA3" w:rsidRDefault="00784EA3" w:rsidP="00A33CD2">
      <w:pPr>
        <w:pStyle w:val="Akapitzlist1"/>
        <w:tabs>
          <w:tab w:val="left" w:pos="6521"/>
        </w:tabs>
        <w:spacing w:after="120" w:line="240" w:lineRule="auto"/>
        <w:ind w:left="0"/>
      </w:pPr>
    </w:p>
    <w:p w:rsidR="00784EA3" w:rsidRPr="009D7DC3" w:rsidRDefault="00784EA3" w:rsidP="00A33CD2">
      <w:pPr>
        <w:pStyle w:val="Akapitzlist1"/>
        <w:tabs>
          <w:tab w:val="left" w:pos="6521"/>
        </w:tabs>
        <w:spacing w:after="120" w:line="240" w:lineRule="auto"/>
        <w:ind w:left="0"/>
      </w:pPr>
    </w:p>
    <w:sectPr w:rsidR="00784EA3" w:rsidRPr="009D7DC3" w:rsidSect="00FC76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16" w:rsidRDefault="00715A16" w:rsidP="007F7C42">
      <w:pPr>
        <w:spacing w:after="0" w:line="240" w:lineRule="auto"/>
      </w:pPr>
      <w:r>
        <w:separator/>
      </w:r>
    </w:p>
  </w:endnote>
  <w:endnote w:type="continuationSeparator" w:id="0">
    <w:p w:rsidR="00715A16" w:rsidRDefault="00715A16" w:rsidP="007F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16" w:rsidRDefault="00715A16" w:rsidP="007F7C42">
      <w:pPr>
        <w:spacing w:after="0" w:line="240" w:lineRule="auto"/>
      </w:pPr>
      <w:r>
        <w:separator/>
      </w:r>
    </w:p>
  </w:footnote>
  <w:footnote w:type="continuationSeparator" w:id="0">
    <w:p w:rsidR="00715A16" w:rsidRDefault="00715A16" w:rsidP="007F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682"/>
    <w:multiLevelType w:val="hybridMultilevel"/>
    <w:tmpl w:val="3E00FD20"/>
    <w:lvl w:ilvl="0" w:tplc="39B40B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837D5"/>
    <w:multiLevelType w:val="hybridMultilevel"/>
    <w:tmpl w:val="8056DA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DB4"/>
    <w:multiLevelType w:val="hybridMultilevel"/>
    <w:tmpl w:val="DF54561C"/>
    <w:lvl w:ilvl="0" w:tplc="39B40B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41302"/>
    <w:multiLevelType w:val="hybridMultilevel"/>
    <w:tmpl w:val="AA72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2D12"/>
    <w:multiLevelType w:val="hybridMultilevel"/>
    <w:tmpl w:val="F89A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1BAE"/>
    <w:multiLevelType w:val="hybridMultilevel"/>
    <w:tmpl w:val="DCCABE5C"/>
    <w:lvl w:ilvl="0" w:tplc="6DAAAE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41F91"/>
    <w:multiLevelType w:val="hybridMultilevel"/>
    <w:tmpl w:val="7AE64D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190107"/>
    <w:multiLevelType w:val="hybridMultilevel"/>
    <w:tmpl w:val="132E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6DD3"/>
    <w:multiLevelType w:val="hybridMultilevel"/>
    <w:tmpl w:val="EFEAA81A"/>
    <w:lvl w:ilvl="0" w:tplc="39B40B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74347"/>
    <w:multiLevelType w:val="hybridMultilevel"/>
    <w:tmpl w:val="688EA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A0FF4"/>
    <w:multiLevelType w:val="multilevel"/>
    <w:tmpl w:val="DFEE63A6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B"/>
    <w:rsid w:val="00037DA1"/>
    <w:rsid w:val="00075D08"/>
    <w:rsid w:val="00085664"/>
    <w:rsid w:val="000A488B"/>
    <w:rsid w:val="000C2A6F"/>
    <w:rsid w:val="000D7DB1"/>
    <w:rsid w:val="00117B1B"/>
    <w:rsid w:val="0013399D"/>
    <w:rsid w:val="00146F3C"/>
    <w:rsid w:val="001D2DB1"/>
    <w:rsid w:val="002311BE"/>
    <w:rsid w:val="00244C7C"/>
    <w:rsid w:val="00276AF6"/>
    <w:rsid w:val="002B72A4"/>
    <w:rsid w:val="002D5656"/>
    <w:rsid w:val="002E4E40"/>
    <w:rsid w:val="002F2909"/>
    <w:rsid w:val="003A03F7"/>
    <w:rsid w:val="003C775A"/>
    <w:rsid w:val="003E5EEB"/>
    <w:rsid w:val="00451510"/>
    <w:rsid w:val="00476C46"/>
    <w:rsid w:val="004B2ED8"/>
    <w:rsid w:val="004D0DAF"/>
    <w:rsid w:val="004D6486"/>
    <w:rsid w:val="005361DB"/>
    <w:rsid w:val="0055338E"/>
    <w:rsid w:val="00597E1B"/>
    <w:rsid w:val="0061544F"/>
    <w:rsid w:val="00615E59"/>
    <w:rsid w:val="00641D91"/>
    <w:rsid w:val="00647D41"/>
    <w:rsid w:val="006B58DC"/>
    <w:rsid w:val="006E0774"/>
    <w:rsid w:val="007127D0"/>
    <w:rsid w:val="00715A16"/>
    <w:rsid w:val="007214E0"/>
    <w:rsid w:val="007775A1"/>
    <w:rsid w:val="00784EA3"/>
    <w:rsid w:val="00791602"/>
    <w:rsid w:val="00795E3E"/>
    <w:rsid w:val="007B315D"/>
    <w:rsid w:val="007B3B1D"/>
    <w:rsid w:val="007F7C42"/>
    <w:rsid w:val="008203F8"/>
    <w:rsid w:val="00843EE1"/>
    <w:rsid w:val="00903BBC"/>
    <w:rsid w:val="00925636"/>
    <w:rsid w:val="00934648"/>
    <w:rsid w:val="00940B6F"/>
    <w:rsid w:val="009B1636"/>
    <w:rsid w:val="009D7DC3"/>
    <w:rsid w:val="00A01755"/>
    <w:rsid w:val="00A33CD2"/>
    <w:rsid w:val="00A54BA6"/>
    <w:rsid w:val="00A61CA3"/>
    <w:rsid w:val="00AA2151"/>
    <w:rsid w:val="00B02E9E"/>
    <w:rsid w:val="00B9371C"/>
    <w:rsid w:val="00C040B3"/>
    <w:rsid w:val="00C10D97"/>
    <w:rsid w:val="00C1294A"/>
    <w:rsid w:val="00CC5090"/>
    <w:rsid w:val="00CE0AAF"/>
    <w:rsid w:val="00DC0A47"/>
    <w:rsid w:val="00E05570"/>
    <w:rsid w:val="00E44969"/>
    <w:rsid w:val="00E54F72"/>
    <w:rsid w:val="00E65808"/>
    <w:rsid w:val="00E8444C"/>
    <w:rsid w:val="00EA1C25"/>
    <w:rsid w:val="00EE2B30"/>
    <w:rsid w:val="00F84EE2"/>
    <w:rsid w:val="00FA13A2"/>
    <w:rsid w:val="00FB061A"/>
    <w:rsid w:val="00FB1568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5437F-9AB3-42CB-833D-E25CE48A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B1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17B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C4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C42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34648"/>
    <w:pPr>
      <w:widowControl w:val="0"/>
      <w:suppressAutoHyphens/>
      <w:spacing w:after="0" w:line="240" w:lineRule="auto"/>
      <w:ind w:left="720"/>
      <w:contextualSpacing/>
    </w:pPr>
    <w:rPr>
      <w:rFonts w:eastAsia="SimSun" w:cs="Mangal"/>
      <w:kern w:val="2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93464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jujrozdzia">
    <w:name w:val="juj rozdział"/>
    <w:basedOn w:val="Normalny"/>
    <w:uiPriority w:val="99"/>
    <w:rsid w:val="00934648"/>
    <w:pPr>
      <w:spacing w:after="0" w:line="480" w:lineRule="auto"/>
    </w:pPr>
    <w:rPr>
      <w:rFonts w:eastAsia="Times New Roman"/>
      <w:b/>
      <w:sz w:val="28"/>
      <w:lang w:eastAsia="pl-PL"/>
    </w:rPr>
  </w:style>
  <w:style w:type="character" w:styleId="Pogrubienie">
    <w:name w:val="Strong"/>
    <w:basedOn w:val="Domylnaczcionkaakapitu"/>
    <w:uiPriority w:val="22"/>
    <w:qFormat/>
    <w:rsid w:val="00934648"/>
    <w:rPr>
      <w:b/>
      <w:bCs/>
    </w:rPr>
  </w:style>
  <w:style w:type="character" w:styleId="Uwydatnienie">
    <w:name w:val="Emphasis"/>
    <w:basedOn w:val="Domylnaczcionkaakapitu"/>
    <w:uiPriority w:val="20"/>
    <w:qFormat/>
    <w:rsid w:val="00A01755"/>
    <w:rPr>
      <w:i/>
      <w:iCs/>
    </w:rPr>
  </w:style>
  <w:style w:type="character" w:customStyle="1" w:styleId="ZnakZnak7">
    <w:name w:val="Znak Znak7"/>
    <w:basedOn w:val="Domylnaczcionkaakapitu"/>
    <w:rsid w:val="00A0175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Legenda">
    <w:name w:val="caption"/>
    <w:basedOn w:val="Normalny"/>
    <w:uiPriority w:val="35"/>
    <w:semiHidden/>
    <w:unhideWhenUsed/>
    <w:qFormat/>
    <w:rsid w:val="00085664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he-IL"/>
    </w:rPr>
  </w:style>
  <w:style w:type="paragraph" w:styleId="Bezodstpw">
    <w:name w:val="No Spacing"/>
    <w:uiPriority w:val="1"/>
    <w:qFormat/>
    <w:rsid w:val="00085664"/>
    <w:pPr>
      <w:spacing w:after="0" w:line="240" w:lineRule="auto"/>
    </w:pPr>
  </w:style>
  <w:style w:type="character" w:customStyle="1" w:styleId="st1">
    <w:name w:val="st1"/>
    <w:basedOn w:val="Domylnaczcionkaakapitu"/>
    <w:rsid w:val="00085664"/>
  </w:style>
  <w:style w:type="paragraph" w:styleId="NormalnyWeb">
    <w:name w:val="Normal (Web)"/>
    <w:basedOn w:val="Normalny"/>
    <w:unhideWhenUsed/>
    <w:rsid w:val="007B315D"/>
    <w:pPr>
      <w:spacing w:before="100" w:beforeAutospacing="1" w:after="225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umb3</dc:creator>
  <cp:lastModifiedBy>Agnieszka</cp:lastModifiedBy>
  <cp:revision>2</cp:revision>
  <dcterms:created xsi:type="dcterms:W3CDTF">2016-05-31T08:22:00Z</dcterms:created>
  <dcterms:modified xsi:type="dcterms:W3CDTF">2016-05-31T08:22:00Z</dcterms:modified>
</cp:coreProperties>
</file>