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50" w:rsidRPr="004E0250" w:rsidRDefault="004E0250" w:rsidP="004E0250">
      <w:pPr>
        <w:tabs>
          <w:tab w:val="left" w:pos="6521"/>
        </w:tabs>
        <w:spacing w:after="40"/>
        <w:jc w:val="right"/>
        <w:outlineLvl w:val="0"/>
        <w:rPr>
          <w:lang w:val="pl-PL" w:eastAsia="pl-PL"/>
        </w:rPr>
      </w:pPr>
      <w:r>
        <w:rPr>
          <w:rFonts w:ascii="Arial" w:hAnsi="Arial" w:cs="Arial"/>
          <w:b/>
          <w:color w:val="000000"/>
        </w:rPr>
        <w:t xml:space="preserve">       </w:t>
      </w:r>
      <w:r>
        <w:rPr>
          <w:lang w:val="pl-PL" w:eastAsia="pl-PL"/>
        </w:rPr>
        <w:t>Załącznik nr 6</w:t>
      </w:r>
    </w:p>
    <w:p w:rsidR="004E0250" w:rsidRPr="004E0250" w:rsidRDefault="004E0250" w:rsidP="004E0250">
      <w:pPr>
        <w:tabs>
          <w:tab w:val="left" w:pos="6521"/>
        </w:tabs>
        <w:suppressAutoHyphens w:val="0"/>
        <w:spacing w:after="40"/>
        <w:jc w:val="right"/>
        <w:outlineLvl w:val="0"/>
        <w:rPr>
          <w:lang w:val="pl-PL" w:eastAsia="pl-PL"/>
        </w:rPr>
      </w:pPr>
      <w:r>
        <w:rPr>
          <w:lang w:val="pl-PL" w:eastAsia="pl-PL"/>
        </w:rPr>
        <w:t xml:space="preserve">do Uchwały Senatu nr </w:t>
      </w:r>
      <w:r w:rsidR="00D5031F">
        <w:rPr>
          <w:lang w:val="pl-PL" w:eastAsia="pl-PL"/>
        </w:rPr>
        <w:t>31/2016 z dnia 2</w:t>
      </w:r>
      <w:bookmarkStart w:id="0" w:name="_GoBack"/>
      <w:bookmarkEnd w:id="0"/>
      <w:r w:rsidR="00D5031F">
        <w:rPr>
          <w:lang w:val="pl-PL" w:eastAsia="pl-PL"/>
        </w:rPr>
        <w:t>3.03.2016r.</w:t>
      </w:r>
    </w:p>
    <w:p w:rsidR="004E0250" w:rsidRPr="004E0250" w:rsidRDefault="004E0250" w:rsidP="004E0250">
      <w:pPr>
        <w:spacing w:line="360" w:lineRule="auto"/>
        <w:rPr>
          <w:rFonts w:ascii="Arial" w:hAnsi="Arial" w:cs="Arial"/>
          <w:b/>
          <w:color w:val="000000"/>
          <w:lang w:val="pl-PL"/>
        </w:rPr>
      </w:pPr>
    </w:p>
    <w:p w:rsidR="00662153" w:rsidRDefault="00240F3C" w:rsidP="00240F3C">
      <w:pPr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Umowa uczestnictwa w </w:t>
      </w:r>
      <w:r w:rsidR="00B37281">
        <w:rPr>
          <w:rFonts w:ascii="Arial" w:hAnsi="Arial" w:cs="Arial"/>
          <w:b/>
          <w:color w:val="000000"/>
        </w:rPr>
        <w:t>I</w:t>
      </w:r>
      <w:r w:rsidR="00662153">
        <w:rPr>
          <w:rFonts w:ascii="Arial" w:hAnsi="Arial" w:cs="Arial"/>
          <w:b/>
          <w:color w:val="000000"/>
        </w:rPr>
        <w:t xml:space="preserve"> edycji studiów podyplomowych</w:t>
      </w: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>pn. "</w:t>
      </w:r>
      <w:r w:rsidR="004003F6" w:rsidRPr="004003F6">
        <w:rPr>
          <w:rFonts w:ascii="Arial" w:hAnsi="Arial" w:cs="Arial"/>
          <w:b/>
          <w:bCs/>
          <w:color w:val="000000"/>
        </w:rPr>
        <w:t>Interdyscyplin</w:t>
      </w:r>
      <w:r w:rsidR="004003F6">
        <w:rPr>
          <w:rFonts w:ascii="Arial" w:hAnsi="Arial" w:cs="Arial"/>
          <w:b/>
          <w:bCs/>
          <w:color w:val="000000"/>
        </w:rPr>
        <w:t>arna Opieka Psychogeriatryczna</w:t>
      </w:r>
      <w:r>
        <w:rPr>
          <w:rFonts w:ascii="Arial" w:hAnsi="Arial" w:cs="Arial"/>
          <w:b/>
          <w:bCs/>
          <w:color w:val="000000"/>
        </w:rPr>
        <w:t>"</w:t>
      </w: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w roku akademickim 201</w:t>
      </w:r>
      <w:r w:rsidR="00240F3C">
        <w:rPr>
          <w:rFonts w:ascii="Arial" w:hAnsi="Arial" w:cs="Arial"/>
          <w:b/>
          <w:bCs/>
          <w:color w:val="000000"/>
        </w:rPr>
        <w:t>6</w:t>
      </w:r>
      <w:r>
        <w:rPr>
          <w:rFonts w:ascii="Arial" w:hAnsi="Arial" w:cs="Arial"/>
          <w:b/>
          <w:bCs/>
          <w:color w:val="000000"/>
        </w:rPr>
        <w:t>/201</w:t>
      </w:r>
      <w:r w:rsidR="00240F3C">
        <w:rPr>
          <w:rFonts w:ascii="Arial" w:hAnsi="Arial" w:cs="Arial"/>
          <w:b/>
          <w:bCs/>
          <w:color w:val="000000"/>
        </w:rPr>
        <w:t>7</w:t>
      </w: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Nr ..... /</w:t>
      </w:r>
      <w:r w:rsidR="00240F3C">
        <w:rPr>
          <w:rFonts w:ascii="Arial" w:hAnsi="Arial" w:cs="Arial"/>
          <w:b/>
          <w:color w:val="000000"/>
          <w:sz w:val="20"/>
          <w:szCs w:val="20"/>
        </w:rPr>
        <w:t>PSYCHOGER1</w:t>
      </w:r>
    </w:p>
    <w:p w:rsidR="00662153" w:rsidRDefault="00662153" w:rsidP="00662153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zawarta w dniu ……............ pomiędzy Uniwersytetem Medycznym w Białymstoku,</w:t>
      </w:r>
      <w:r>
        <w:rPr>
          <w:rFonts w:ascii="Arial" w:hAnsi="Arial" w:cs="Arial"/>
          <w:color w:val="000000"/>
          <w:sz w:val="20"/>
          <w:szCs w:val="20"/>
        </w:rPr>
        <w:br/>
        <w:t>z siedzibą w Białymstoku przy ul. Kilińskiego 1, zwan</w:t>
      </w:r>
      <w:r w:rsidR="00240F3C">
        <w:rPr>
          <w:rFonts w:ascii="Arial" w:hAnsi="Arial" w:cs="Arial"/>
          <w:color w:val="000000"/>
          <w:sz w:val="20"/>
          <w:szCs w:val="20"/>
        </w:rPr>
        <w:t>ym</w:t>
      </w:r>
      <w:r>
        <w:rPr>
          <w:rFonts w:ascii="Arial" w:hAnsi="Arial" w:cs="Arial"/>
          <w:color w:val="000000"/>
          <w:sz w:val="20"/>
          <w:szCs w:val="20"/>
        </w:rPr>
        <w:t xml:space="preserve"> w dalszej części umowy „Uczelnią”, reprezentowan</w:t>
      </w:r>
      <w:r w:rsidR="00240F3C">
        <w:rPr>
          <w:rFonts w:ascii="Arial" w:hAnsi="Arial" w:cs="Arial"/>
          <w:color w:val="000000"/>
          <w:sz w:val="20"/>
          <w:szCs w:val="20"/>
        </w:rPr>
        <w:t>ym</w:t>
      </w:r>
      <w:r>
        <w:rPr>
          <w:rFonts w:ascii="Arial" w:hAnsi="Arial" w:cs="Arial"/>
          <w:color w:val="000000"/>
          <w:sz w:val="20"/>
          <w:szCs w:val="20"/>
        </w:rPr>
        <w:t xml:space="preserve"> przez: </w:t>
      </w:r>
      <w:r w:rsidR="00DE3752">
        <w:rPr>
          <w:rFonts w:ascii="Arial" w:hAnsi="Arial" w:cs="Arial"/>
          <w:color w:val="000000"/>
          <w:sz w:val="20"/>
          <w:szCs w:val="20"/>
        </w:rPr>
        <w:t>Dziekana Wydziału Nauk o Zdrowiu UMB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378AC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E3752">
        <w:rPr>
          <w:rFonts w:ascii="Arial" w:hAnsi="Arial" w:cs="Arial"/>
          <w:color w:val="000000"/>
          <w:sz w:val="20"/>
          <w:szCs w:val="20"/>
        </w:rPr>
        <w:t>prof. dr hab. Sławomira Jerzego Terlikowskiego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Panią/Panem: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</w:rPr>
        <w:t>Imię/imiona i Nazwisko: ………………………………………………………………...............………................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Adres zamieszkania: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..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do korespondencji (jeśli inny niż adres zamieszkania):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..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PESEL: .........................................................................................................................................................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zwanym/zwaną w dalszej części umowy Słuchaczem, o następującej treści: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§1</w:t>
      </w:r>
    </w:p>
    <w:p w:rsidR="00662153" w:rsidRDefault="003201EA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Umowa zostaje </w:t>
      </w:r>
      <w:r w:rsidR="00240F3C">
        <w:rPr>
          <w:rFonts w:ascii="Arial" w:hAnsi="Arial" w:cs="Arial"/>
          <w:color w:val="000000"/>
          <w:sz w:val="20"/>
          <w:szCs w:val="20"/>
        </w:rPr>
        <w:t xml:space="preserve">zawarta na czas trwania </w:t>
      </w:r>
      <w:r w:rsidR="00B37281">
        <w:rPr>
          <w:rFonts w:ascii="Arial" w:hAnsi="Arial" w:cs="Arial"/>
          <w:color w:val="000000"/>
          <w:sz w:val="20"/>
          <w:szCs w:val="20"/>
        </w:rPr>
        <w:t>I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edycji studiów podyplomowych</w:t>
      </w:r>
      <w:r w:rsidR="0066215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62153">
        <w:rPr>
          <w:rFonts w:ascii="Arial" w:hAnsi="Arial" w:cs="Arial"/>
          <w:color w:val="000000"/>
          <w:sz w:val="20"/>
          <w:szCs w:val="20"/>
        </w:rPr>
        <w:t>pn. "</w:t>
      </w:r>
      <w:r w:rsidR="004003F6" w:rsidRPr="004003F6">
        <w:rPr>
          <w:rFonts w:ascii="Arial" w:hAnsi="Arial" w:cs="Arial"/>
          <w:color w:val="000000"/>
          <w:sz w:val="20"/>
          <w:szCs w:val="20"/>
        </w:rPr>
        <w:t>Interdyscyplin</w:t>
      </w:r>
      <w:r w:rsidR="004003F6">
        <w:rPr>
          <w:rFonts w:ascii="Arial" w:hAnsi="Arial" w:cs="Arial"/>
          <w:color w:val="000000"/>
          <w:sz w:val="20"/>
          <w:szCs w:val="20"/>
        </w:rPr>
        <w:t>arna Opieka Psychogeriatryczna</w:t>
      </w:r>
      <w:r w:rsidR="00240F3C">
        <w:rPr>
          <w:rFonts w:ascii="Arial" w:hAnsi="Arial" w:cs="Arial"/>
          <w:color w:val="000000"/>
          <w:sz w:val="20"/>
          <w:szCs w:val="20"/>
        </w:rPr>
        <w:t xml:space="preserve">", obejmujących łącznie </w:t>
      </w:r>
      <w:r w:rsidR="0069516C">
        <w:rPr>
          <w:rFonts w:ascii="Arial" w:hAnsi="Arial" w:cs="Arial"/>
          <w:color w:val="000000"/>
          <w:sz w:val="20"/>
          <w:szCs w:val="20"/>
        </w:rPr>
        <w:t>1</w:t>
      </w:r>
      <w:r w:rsidR="00240F3C">
        <w:rPr>
          <w:rFonts w:ascii="Arial" w:hAnsi="Arial" w:cs="Arial"/>
          <w:color w:val="000000"/>
          <w:sz w:val="20"/>
          <w:szCs w:val="20"/>
        </w:rPr>
        <w:t>65</w:t>
      </w:r>
      <w:r w:rsidR="0069516C">
        <w:rPr>
          <w:rFonts w:ascii="Arial" w:hAnsi="Arial" w:cs="Arial"/>
          <w:color w:val="000000"/>
          <w:sz w:val="20"/>
          <w:szCs w:val="20"/>
        </w:rPr>
        <w:t xml:space="preserve"> godzin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</w:t>
      </w:r>
      <w:r w:rsidR="0069516C">
        <w:rPr>
          <w:rFonts w:ascii="Arial" w:hAnsi="Arial" w:cs="Arial"/>
          <w:color w:val="000000"/>
          <w:sz w:val="20"/>
          <w:szCs w:val="20"/>
        </w:rPr>
        <w:t>wykładów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, prowadzonych w języku </w:t>
      </w:r>
      <w:r w:rsidR="00240F3C">
        <w:rPr>
          <w:rFonts w:ascii="Arial" w:hAnsi="Arial" w:cs="Arial"/>
          <w:color w:val="000000"/>
          <w:sz w:val="20"/>
          <w:szCs w:val="20"/>
        </w:rPr>
        <w:t>polskim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w terminie od października 201</w:t>
      </w:r>
      <w:r w:rsidR="00240F3C">
        <w:rPr>
          <w:rFonts w:ascii="Arial" w:hAnsi="Arial" w:cs="Arial"/>
          <w:color w:val="000000"/>
          <w:sz w:val="20"/>
          <w:szCs w:val="20"/>
        </w:rPr>
        <w:t>6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r. do września 201</w:t>
      </w:r>
      <w:r w:rsidR="00240F3C">
        <w:rPr>
          <w:rFonts w:ascii="Arial" w:hAnsi="Arial" w:cs="Arial"/>
          <w:color w:val="000000"/>
          <w:sz w:val="20"/>
          <w:szCs w:val="20"/>
        </w:rPr>
        <w:t>7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r.</w:t>
      </w:r>
    </w:p>
    <w:p w:rsidR="003201EA" w:rsidRDefault="003201EA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Pr="003201EA">
        <w:rPr>
          <w:rFonts w:ascii="Arial" w:hAnsi="Arial" w:cs="Arial"/>
          <w:color w:val="000000"/>
          <w:sz w:val="20"/>
          <w:szCs w:val="20"/>
        </w:rPr>
        <w:t>Indywidualny numer rachunku bankowego, na który należy wnosić opłaty: ……………………………………</w:t>
      </w:r>
      <w:r w:rsidR="00240F3C">
        <w:rPr>
          <w:rFonts w:ascii="Arial" w:hAnsi="Arial" w:cs="Arial"/>
          <w:color w:val="000000"/>
          <w:sz w:val="20"/>
          <w:szCs w:val="20"/>
        </w:rPr>
        <w:t>........................</w:t>
      </w:r>
      <w:r w:rsidRPr="003201E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…………………………………………………………………..</w:t>
      </w: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§2</w:t>
      </w:r>
    </w:p>
    <w:p w:rsidR="00662153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662153">
        <w:rPr>
          <w:rFonts w:ascii="Arial" w:hAnsi="Arial" w:cs="Arial"/>
          <w:color w:val="000000"/>
          <w:sz w:val="20"/>
          <w:szCs w:val="20"/>
        </w:rPr>
        <w:t>Uczestnictwo w studiach podyplomowych jest</w:t>
      </w:r>
      <w:r w:rsidR="0069516C">
        <w:rPr>
          <w:rFonts w:ascii="Arial" w:hAnsi="Arial" w:cs="Arial"/>
          <w:color w:val="000000"/>
          <w:sz w:val="20"/>
          <w:szCs w:val="20"/>
        </w:rPr>
        <w:t xml:space="preserve"> </w:t>
      </w:r>
      <w:r w:rsidR="00B37281">
        <w:rPr>
          <w:rFonts w:ascii="Arial" w:hAnsi="Arial" w:cs="Arial"/>
          <w:color w:val="000000"/>
          <w:sz w:val="20"/>
          <w:szCs w:val="20"/>
        </w:rPr>
        <w:t>płatne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662153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662153">
        <w:rPr>
          <w:rFonts w:ascii="Arial" w:hAnsi="Arial" w:cs="Arial"/>
          <w:color w:val="000000"/>
          <w:sz w:val="20"/>
          <w:szCs w:val="20"/>
        </w:rPr>
        <w:t>Uczelnia zobowiązuje się do zapewnienia wykwalifikowanej kadry dydaktycznej.</w:t>
      </w:r>
    </w:p>
    <w:p w:rsidR="00662153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="00662153">
        <w:rPr>
          <w:rFonts w:ascii="Arial" w:hAnsi="Arial" w:cs="Arial"/>
          <w:color w:val="000000"/>
          <w:sz w:val="20"/>
          <w:szCs w:val="20"/>
        </w:rPr>
        <w:t>Uczelnia zobowiązuje się do prowadzenia zajęć przewidzianych harmonogramem studiów. Harmon</w:t>
      </w:r>
      <w:r w:rsidR="00B37281">
        <w:rPr>
          <w:rFonts w:ascii="Arial" w:hAnsi="Arial" w:cs="Arial"/>
          <w:color w:val="000000"/>
          <w:sz w:val="20"/>
          <w:szCs w:val="20"/>
        </w:rPr>
        <w:t xml:space="preserve">ogram studiów stanowi Załącznik </w:t>
      </w:r>
      <w:r w:rsidR="00662153">
        <w:rPr>
          <w:rFonts w:ascii="Arial" w:hAnsi="Arial" w:cs="Arial"/>
          <w:color w:val="000000"/>
          <w:sz w:val="20"/>
          <w:szCs w:val="20"/>
        </w:rPr>
        <w:t>nr 1 do niniejszej umowy</w:t>
      </w:r>
      <w:r w:rsidR="00662153" w:rsidRPr="0069516C">
        <w:rPr>
          <w:rFonts w:ascii="Arial" w:hAnsi="Arial" w:cs="Arial"/>
          <w:sz w:val="20"/>
          <w:szCs w:val="20"/>
        </w:rPr>
        <w:t>.</w:t>
      </w:r>
    </w:p>
    <w:p w:rsidR="0069516C" w:rsidRPr="0069516C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 w:rsidR="0069516C">
        <w:rPr>
          <w:rFonts w:ascii="Arial" w:hAnsi="Arial" w:cs="Arial"/>
          <w:color w:val="000000"/>
          <w:sz w:val="20"/>
          <w:szCs w:val="20"/>
        </w:rPr>
        <w:t xml:space="preserve">Wykłady </w:t>
      </w:r>
      <w:r w:rsidR="00240F3C">
        <w:rPr>
          <w:rFonts w:ascii="Arial" w:hAnsi="Arial" w:cs="Arial"/>
          <w:color w:val="000000"/>
          <w:sz w:val="20"/>
          <w:szCs w:val="20"/>
        </w:rPr>
        <w:t xml:space="preserve">będą </w:t>
      </w:r>
      <w:r w:rsidR="0069516C">
        <w:rPr>
          <w:rFonts w:ascii="Arial" w:hAnsi="Arial" w:cs="Arial"/>
          <w:color w:val="000000"/>
          <w:sz w:val="20"/>
          <w:szCs w:val="20"/>
        </w:rPr>
        <w:t xml:space="preserve">odbywały </w:t>
      </w:r>
      <w:r w:rsidR="00240F3C">
        <w:rPr>
          <w:rFonts w:ascii="Arial" w:hAnsi="Arial" w:cs="Arial"/>
          <w:color w:val="000000"/>
          <w:sz w:val="20"/>
          <w:szCs w:val="20"/>
        </w:rPr>
        <w:t xml:space="preserve">się </w:t>
      </w:r>
      <w:r w:rsidR="0069516C">
        <w:rPr>
          <w:rFonts w:ascii="Arial" w:hAnsi="Arial" w:cs="Arial"/>
          <w:color w:val="000000"/>
          <w:sz w:val="20"/>
          <w:szCs w:val="20"/>
        </w:rPr>
        <w:t xml:space="preserve">w trybie weekendowym – w soboty i niedziele – zgodnie z </w:t>
      </w:r>
      <w:r w:rsidR="00240F3C">
        <w:rPr>
          <w:rFonts w:ascii="Arial" w:hAnsi="Arial" w:cs="Arial"/>
          <w:color w:val="000000"/>
          <w:sz w:val="20"/>
          <w:szCs w:val="20"/>
        </w:rPr>
        <w:t>rozkładem</w:t>
      </w:r>
      <w:r w:rsidR="0069516C">
        <w:rPr>
          <w:rFonts w:ascii="Arial" w:hAnsi="Arial" w:cs="Arial"/>
          <w:color w:val="000000"/>
          <w:sz w:val="20"/>
          <w:szCs w:val="20"/>
        </w:rPr>
        <w:t xml:space="preserve"> zajęć dostepnym na stronie int</w:t>
      </w:r>
      <w:r w:rsidR="00240F3C">
        <w:rPr>
          <w:rFonts w:ascii="Arial" w:hAnsi="Arial" w:cs="Arial"/>
          <w:color w:val="000000"/>
          <w:sz w:val="20"/>
          <w:szCs w:val="20"/>
        </w:rPr>
        <w:t>ernetowej studiów podyplomowych</w:t>
      </w:r>
      <w:r w:rsidR="0069516C">
        <w:rPr>
          <w:rFonts w:ascii="Arial" w:hAnsi="Arial" w:cs="Arial"/>
          <w:color w:val="000000"/>
          <w:sz w:val="20"/>
          <w:szCs w:val="20"/>
        </w:rPr>
        <w:t xml:space="preserve"> pod adresem: .......................</w:t>
      </w:r>
      <w:r w:rsidR="00240F3C">
        <w:rPr>
          <w:rFonts w:ascii="Arial" w:hAnsi="Arial" w:cs="Arial"/>
          <w:color w:val="000000"/>
          <w:sz w:val="20"/>
          <w:szCs w:val="20"/>
        </w:rPr>
        <w:t>......</w:t>
      </w:r>
      <w:r w:rsidR="0069516C">
        <w:rPr>
          <w:rFonts w:ascii="Arial" w:hAnsi="Arial" w:cs="Arial"/>
          <w:color w:val="000000"/>
          <w:sz w:val="20"/>
          <w:szCs w:val="20"/>
        </w:rPr>
        <w:t>........ .</w:t>
      </w:r>
    </w:p>
    <w:p w:rsidR="00662153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5. </w:t>
      </w:r>
      <w:r w:rsidR="00662153">
        <w:rPr>
          <w:rFonts w:ascii="Arial" w:hAnsi="Arial" w:cs="Arial"/>
          <w:color w:val="000000"/>
          <w:sz w:val="20"/>
          <w:szCs w:val="20"/>
        </w:rPr>
        <w:t>Uczelnia zastrzega sobie prawo do zmiany terminów zajęć z przyczyn od Uczelni niezależnych</w:t>
      </w:r>
      <w:r w:rsidR="00240F3C">
        <w:rPr>
          <w:rFonts w:ascii="Arial" w:hAnsi="Arial" w:cs="Arial"/>
          <w:color w:val="000000"/>
          <w:sz w:val="20"/>
          <w:szCs w:val="20"/>
        </w:rPr>
        <w:t>,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jak np. choroba wykładowcy. </w:t>
      </w:r>
    </w:p>
    <w:p w:rsidR="00662153" w:rsidRDefault="00240F3C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8F1AF3">
        <w:rPr>
          <w:rFonts w:ascii="Arial" w:hAnsi="Arial" w:cs="Arial"/>
          <w:color w:val="000000"/>
          <w:sz w:val="20"/>
          <w:szCs w:val="20"/>
        </w:rPr>
        <w:t xml:space="preserve">. </w:t>
      </w:r>
      <w:r w:rsidR="00662153">
        <w:rPr>
          <w:rFonts w:ascii="Arial" w:hAnsi="Arial" w:cs="Arial"/>
          <w:color w:val="000000"/>
          <w:sz w:val="20"/>
          <w:szCs w:val="20"/>
        </w:rPr>
        <w:t>Uczelnia nie pokrywa kosztów dojazdu Słuchacza na miejsce odbywania studiów, zakwaterowania</w:t>
      </w:r>
      <w:r w:rsidR="00662153">
        <w:rPr>
          <w:rFonts w:ascii="Arial" w:hAnsi="Arial" w:cs="Arial"/>
          <w:color w:val="000000"/>
          <w:sz w:val="20"/>
          <w:szCs w:val="20"/>
        </w:rPr>
        <w:br/>
        <w:t>w Białymstoku, ani kosztów wyżywienia Słuchacza.</w:t>
      </w: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§3</w:t>
      </w: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8F1AF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Słuchacz zobowiązuje się do:</w:t>
      </w:r>
    </w:p>
    <w:p w:rsidR="00662153" w:rsidRDefault="00240F3C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</w:t>
      </w:r>
      <w:r w:rsidR="00662153">
        <w:rPr>
          <w:rFonts w:ascii="Arial" w:hAnsi="Arial" w:cs="Arial"/>
          <w:color w:val="000000"/>
          <w:sz w:val="20"/>
          <w:szCs w:val="20"/>
        </w:rPr>
        <w:t>przestrzegania przepisów Regulaminu studiów podyplomowych Uniwersytetu Medycznego</w:t>
      </w:r>
      <w:r w:rsidR="00662153">
        <w:rPr>
          <w:rFonts w:ascii="Arial" w:hAnsi="Arial" w:cs="Arial"/>
          <w:color w:val="000000"/>
          <w:sz w:val="20"/>
          <w:szCs w:val="20"/>
        </w:rPr>
        <w:br/>
        <w:t>w Białymstoku,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starannego przygotowywania się do zajęć, aktywnego udziału w zajęciach oraz pracy własnej wynikającej z liczby punktów ECTS przyznanej poszczególnym </w:t>
      </w:r>
      <w:r w:rsidR="005F7770">
        <w:rPr>
          <w:rFonts w:ascii="Arial" w:hAnsi="Arial" w:cs="Arial"/>
          <w:color w:val="000000"/>
          <w:sz w:val="20"/>
          <w:szCs w:val="20"/>
        </w:rPr>
        <w:t>przedmiotom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662153" w:rsidRDefault="00240F3C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662153">
        <w:rPr>
          <w:rFonts w:ascii="Arial" w:hAnsi="Arial" w:cs="Arial"/>
          <w:color w:val="000000"/>
          <w:sz w:val="20"/>
          <w:szCs w:val="20"/>
        </w:rPr>
        <w:t>) wypełnienia i złożenia ankiet ewaluacyjnych,</w:t>
      </w:r>
    </w:p>
    <w:p w:rsidR="00662153" w:rsidRDefault="00240F3C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662153">
        <w:rPr>
          <w:rFonts w:ascii="Arial" w:hAnsi="Arial" w:cs="Arial"/>
          <w:color w:val="000000"/>
          <w:sz w:val="20"/>
          <w:szCs w:val="20"/>
        </w:rPr>
        <w:t>) rozpoczęcia i ukończenia studiów podyplomowych w wyznaczonym terminie,</w:t>
      </w:r>
    </w:p>
    <w:p w:rsidR="007A52B1" w:rsidRPr="00A2117E" w:rsidRDefault="00240F3C" w:rsidP="006621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7A52B1">
        <w:rPr>
          <w:rFonts w:ascii="Arial" w:hAnsi="Arial" w:cs="Arial"/>
          <w:color w:val="000000"/>
          <w:sz w:val="20"/>
          <w:szCs w:val="20"/>
        </w:rPr>
        <w:t>) t</w:t>
      </w:r>
      <w:r w:rsidR="007A52B1" w:rsidRPr="007A52B1">
        <w:rPr>
          <w:rFonts w:ascii="Arial" w:hAnsi="Arial" w:cs="Arial"/>
          <w:color w:val="000000"/>
          <w:sz w:val="20"/>
          <w:szCs w:val="20"/>
        </w:rPr>
        <w:t xml:space="preserve">erminowego wnoszenia czesnego przez cały okres trwania studiów podyplomowych. </w:t>
      </w:r>
      <w:r w:rsidR="007A52B1">
        <w:rPr>
          <w:rFonts w:ascii="Arial" w:hAnsi="Arial" w:cs="Arial"/>
          <w:color w:val="000000"/>
          <w:sz w:val="20"/>
          <w:szCs w:val="20"/>
        </w:rPr>
        <w:t xml:space="preserve">Zgodnie z </w:t>
      </w:r>
      <w:r w:rsidR="007A52B1" w:rsidRPr="00A2117E">
        <w:rPr>
          <w:rFonts w:ascii="Arial" w:hAnsi="Arial" w:cs="Arial"/>
          <w:sz w:val="20"/>
          <w:szCs w:val="20"/>
        </w:rPr>
        <w:t>Zarządzeniem Rektora UMB wysokość opłaty za studia podyplomowe wynosi</w:t>
      </w:r>
      <w:r w:rsidR="00B378AC" w:rsidRPr="00A2117E">
        <w:rPr>
          <w:rFonts w:ascii="Arial" w:hAnsi="Arial" w:cs="Arial"/>
          <w:sz w:val="20"/>
          <w:szCs w:val="20"/>
        </w:rPr>
        <w:t xml:space="preserve"> </w:t>
      </w:r>
      <w:r w:rsidR="00B259C5" w:rsidRPr="00A2117E">
        <w:rPr>
          <w:rFonts w:ascii="Arial" w:hAnsi="Arial" w:cs="Arial"/>
          <w:sz w:val="20"/>
          <w:szCs w:val="20"/>
        </w:rPr>
        <w:t>2</w:t>
      </w:r>
      <w:r w:rsidR="00AE2176" w:rsidRPr="00A2117E">
        <w:rPr>
          <w:rFonts w:ascii="Arial" w:hAnsi="Arial" w:cs="Arial"/>
          <w:sz w:val="20"/>
          <w:szCs w:val="20"/>
        </w:rPr>
        <w:t>8</w:t>
      </w:r>
      <w:r w:rsidR="005F7770" w:rsidRPr="00A2117E">
        <w:rPr>
          <w:rFonts w:ascii="Arial" w:hAnsi="Arial" w:cs="Arial"/>
          <w:sz w:val="20"/>
          <w:szCs w:val="20"/>
        </w:rPr>
        <w:t>00</w:t>
      </w:r>
      <w:r w:rsidR="00B378AC" w:rsidRPr="00A2117E">
        <w:rPr>
          <w:rFonts w:ascii="Arial" w:hAnsi="Arial" w:cs="Arial"/>
          <w:sz w:val="20"/>
          <w:szCs w:val="20"/>
        </w:rPr>
        <w:t>,00</w:t>
      </w:r>
      <w:r w:rsidR="005F7770" w:rsidRPr="00A2117E">
        <w:rPr>
          <w:rFonts w:ascii="Arial" w:hAnsi="Arial" w:cs="Arial"/>
          <w:sz w:val="20"/>
          <w:szCs w:val="20"/>
        </w:rPr>
        <w:t xml:space="preserve"> zł </w:t>
      </w:r>
      <w:r w:rsidR="007A52B1" w:rsidRPr="00A2117E">
        <w:rPr>
          <w:rFonts w:ascii="Arial" w:hAnsi="Arial" w:cs="Arial"/>
          <w:sz w:val="20"/>
          <w:szCs w:val="20"/>
        </w:rPr>
        <w:t>(słownie:</w:t>
      </w:r>
      <w:r w:rsidR="005F7770" w:rsidRPr="00A2117E">
        <w:rPr>
          <w:rFonts w:ascii="Arial" w:hAnsi="Arial" w:cs="Arial"/>
          <w:sz w:val="20"/>
          <w:szCs w:val="20"/>
        </w:rPr>
        <w:t xml:space="preserve"> </w:t>
      </w:r>
      <w:r w:rsidR="00B259C5" w:rsidRPr="00A2117E">
        <w:rPr>
          <w:rFonts w:ascii="Arial" w:hAnsi="Arial" w:cs="Arial"/>
          <w:sz w:val="20"/>
          <w:szCs w:val="20"/>
        </w:rPr>
        <w:t>dwa tysiące</w:t>
      </w:r>
      <w:r w:rsidR="005F7770" w:rsidRPr="00A2117E">
        <w:rPr>
          <w:rFonts w:ascii="Arial" w:hAnsi="Arial" w:cs="Arial"/>
          <w:sz w:val="20"/>
          <w:szCs w:val="20"/>
        </w:rPr>
        <w:t xml:space="preserve"> </w:t>
      </w:r>
      <w:r w:rsidR="00AE2176" w:rsidRPr="00A2117E">
        <w:rPr>
          <w:rFonts w:ascii="Arial" w:hAnsi="Arial" w:cs="Arial"/>
          <w:sz w:val="20"/>
          <w:szCs w:val="20"/>
        </w:rPr>
        <w:t>osie</w:t>
      </w:r>
      <w:r w:rsidR="00B259C5" w:rsidRPr="00A2117E">
        <w:rPr>
          <w:rFonts w:ascii="Arial" w:hAnsi="Arial" w:cs="Arial"/>
          <w:sz w:val="20"/>
          <w:szCs w:val="20"/>
        </w:rPr>
        <w:t>mset</w:t>
      </w:r>
      <w:r w:rsidR="005F7770" w:rsidRPr="00A2117E">
        <w:rPr>
          <w:rFonts w:ascii="Arial" w:hAnsi="Arial" w:cs="Arial"/>
          <w:sz w:val="20"/>
          <w:szCs w:val="20"/>
        </w:rPr>
        <w:t xml:space="preserve"> złotych</w:t>
      </w:r>
      <w:r w:rsidR="007A52B1" w:rsidRPr="00A2117E">
        <w:rPr>
          <w:rFonts w:ascii="Arial" w:hAnsi="Arial" w:cs="Arial"/>
          <w:sz w:val="20"/>
          <w:szCs w:val="20"/>
        </w:rPr>
        <w:t>),</w:t>
      </w:r>
    </w:p>
    <w:p w:rsidR="007A52B1" w:rsidRPr="00A2117E" w:rsidRDefault="007A52B1" w:rsidP="006621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117E">
        <w:rPr>
          <w:rFonts w:ascii="Arial" w:hAnsi="Arial" w:cs="Arial"/>
          <w:sz w:val="20"/>
          <w:szCs w:val="20"/>
        </w:rPr>
        <w:t xml:space="preserve">2. Opłata, o której mowa </w:t>
      </w:r>
      <w:r w:rsidR="003A7462" w:rsidRPr="00A2117E">
        <w:rPr>
          <w:rFonts w:ascii="Arial" w:hAnsi="Arial" w:cs="Arial"/>
          <w:sz w:val="20"/>
          <w:szCs w:val="20"/>
        </w:rPr>
        <w:t>w §3 ust. 1 pkt. 6</w:t>
      </w:r>
      <w:r w:rsidRPr="00A2117E">
        <w:rPr>
          <w:rFonts w:ascii="Arial" w:hAnsi="Arial" w:cs="Arial"/>
          <w:sz w:val="20"/>
          <w:szCs w:val="20"/>
        </w:rPr>
        <w:t>, wnoszona jest w dwóch równych ratach semestralnych, zgodnie z §14 ust. 3 Regulaminu studiów podyplomowych UMB,</w:t>
      </w:r>
      <w:r w:rsidR="000A1DF9" w:rsidRPr="00A2117E">
        <w:rPr>
          <w:rFonts w:ascii="Arial" w:hAnsi="Arial" w:cs="Arial"/>
          <w:sz w:val="20"/>
          <w:szCs w:val="20"/>
        </w:rPr>
        <w:t xml:space="preserve"> </w:t>
      </w:r>
      <w:r w:rsidR="00B7433D" w:rsidRPr="00A2117E">
        <w:rPr>
          <w:rFonts w:ascii="Arial" w:hAnsi="Arial" w:cs="Arial"/>
          <w:sz w:val="20"/>
          <w:szCs w:val="20"/>
        </w:rPr>
        <w:t>tj.</w:t>
      </w:r>
    </w:p>
    <w:p w:rsidR="000A1DF9" w:rsidRPr="00A2117E" w:rsidRDefault="00B7433D" w:rsidP="006621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117E">
        <w:rPr>
          <w:rFonts w:ascii="Arial" w:hAnsi="Arial" w:cs="Arial"/>
          <w:sz w:val="20"/>
          <w:szCs w:val="20"/>
        </w:rPr>
        <w:t xml:space="preserve">1) I rata w kwocie </w:t>
      </w:r>
      <w:r w:rsidR="00B378AC" w:rsidRPr="00A2117E">
        <w:rPr>
          <w:rFonts w:ascii="Arial" w:hAnsi="Arial" w:cs="Arial"/>
          <w:sz w:val="20"/>
          <w:szCs w:val="20"/>
        </w:rPr>
        <w:t>1</w:t>
      </w:r>
      <w:r w:rsidR="00AE2176" w:rsidRPr="00A2117E">
        <w:rPr>
          <w:rFonts w:ascii="Arial" w:hAnsi="Arial" w:cs="Arial"/>
          <w:sz w:val="20"/>
          <w:szCs w:val="20"/>
        </w:rPr>
        <w:t>40</w:t>
      </w:r>
      <w:r w:rsidR="005F7770" w:rsidRPr="00A2117E">
        <w:rPr>
          <w:rFonts w:ascii="Arial" w:hAnsi="Arial" w:cs="Arial"/>
          <w:sz w:val="20"/>
          <w:szCs w:val="20"/>
        </w:rPr>
        <w:t>0</w:t>
      </w:r>
      <w:r w:rsidR="00B378AC" w:rsidRPr="00A2117E">
        <w:rPr>
          <w:rFonts w:ascii="Arial" w:hAnsi="Arial" w:cs="Arial"/>
          <w:sz w:val="20"/>
          <w:szCs w:val="20"/>
        </w:rPr>
        <w:t>,00</w:t>
      </w:r>
      <w:r w:rsidRPr="00A2117E">
        <w:rPr>
          <w:rFonts w:ascii="Arial" w:hAnsi="Arial" w:cs="Arial"/>
          <w:sz w:val="20"/>
          <w:szCs w:val="20"/>
        </w:rPr>
        <w:t xml:space="preserve"> zł – w terminie 7 dni </w:t>
      </w:r>
      <w:r w:rsidRPr="00A2117E">
        <w:rPr>
          <w:rFonts w:ascii="Arial" w:hAnsi="Arial" w:cs="Arial"/>
          <w:sz w:val="20"/>
          <w:szCs w:val="20"/>
          <w:lang w:val="pl-PL"/>
        </w:rPr>
        <w:t>po zakwalifikowaniu na listę rankingową</w:t>
      </w:r>
      <w:r w:rsidR="000A1DF9" w:rsidRPr="00A2117E">
        <w:rPr>
          <w:rFonts w:ascii="Arial" w:hAnsi="Arial" w:cs="Arial"/>
          <w:sz w:val="20"/>
          <w:szCs w:val="20"/>
          <w:lang w:val="pl-PL"/>
        </w:rPr>
        <w:t>,</w:t>
      </w:r>
    </w:p>
    <w:p w:rsidR="000A1DF9" w:rsidRPr="00A2117E" w:rsidRDefault="00B378AC" w:rsidP="006621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117E">
        <w:rPr>
          <w:rFonts w:ascii="Arial" w:hAnsi="Arial" w:cs="Arial"/>
          <w:sz w:val="20"/>
          <w:szCs w:val="20"/>
        </w:rPr>
        <w:t>2) II rata w kwocie 1</w:t>
      </w:r>
      <w:r w:rsidR="00AE2176" w:rsidRPr="00A2117E">
        <w:rPr>
          <w:rFonts w:ascii="Arial" w:hAnsi="Arial" w:cs="Arial"/>
          <w:sz w:val="20"/>
          <w:szCs w:val="20"/>
        </w:rPr>
        <w:t>40</w:t>
      </w:r>
      <w:r w:rsidR="005F7770" w:rsidRPr="00A2117E">
        <w:rPr>
          <w:rFonts w:ascii="Arial" w:hAnsi="Arial" w:cs="Arial"/>
          <w:sz w:val="20"/>
          <w:szCs w:val="20"/>
        </w:rPr>
        <w:t>0</w:t>
      </w:r>
      <w:r w:rsidRPr="00A2117E">
        <w:rPr>
          <w:rFonts w:ascii="Arial" w:hAnsi="Arial" w:cs="Arial"/>
          <w:sz w:val="20"/>
          <w:szCs w:val="20"/>
        </w:rPr>
        <w:t>,00</w:t>
      </w:r>
      <w:r w:rsidR="005F7770" w:rsidRPr="00A2117E">
        <w:rPr>
          <w:rFonts w:ascii="Arial" w:hAnsi="Arial" w:cs="Arial"/>
          <w:sz w:val="20"/>
          <w:szCs w:val="20"/>
        </w:rPr>
        <w:t xml:space="preserve"> </w:t>
      </w:r>
      <w:r w:rsidR="00B7433D" w:rsidRPr="00A2117E">
        <w:rPr>
          <w:rFonts w:ascii="Arial" w:hAnsi="Arial" w:cs="Arial"/>
          <w:sz w:val="20"/>
          <w:szCs w:val="20"/>
        </w:rPr>
        <w:t xml:space="preserve">zł – w terminie </w:t>
      </w:r>
      <w:r w:rsidR="005F7770" w:rsidRPr="00A2117E">
        <w:rPr>
          <w:rFonts w:ascii="Arial" w:hAnsi="Arial" w:cs="Arial"/>
          <w:sz w:val="20"/>
          <w:szCs w:val="20"/>
        </w:rPr>
        <w:t>do 7 dni po rozpoczęciu II semestru.</w:t>
      </w:r>
    </w:p>
    <w:p w:rsidR="007A52B1" w:rsidRDefault="007A52B1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Pr="007A52B1">
        <w:rPr>
          <w:rFonts w:ascii="Arial" w:hAnsi="Arial" w:cs="Arial"/>
          <w:color w:val="000000"/>
          <w:sz w:val="20"/>
          <w:szCs w:val="20"/>
        </w:rPr>
        <w:t>. Słuchacz zobowiązuje się do pisemnego powiadamiania Uczelni o zmianie jego danych osobowych zawartych w niniejszej Umowie, w tym adresu zamieszkania. Skutki zaniechania wykonania tego obo</w:t>
      </w:r>
      <w:r>
        <w:rPr>
          <w:rFonts w:ascii="Arial" w:hAnsi="Arial" w:cs="Arial"/>
          <w:color w:val="000000"/>
          <w:sz w:val="20"/>
          <w:szCs w:val="20"/>
        </w:rPr>
        <w:t>wiązku obciążać będą Słuchacza</w:t>
      </w:r>
      <w:r w:rsidR="00240F3C">
        <w:rPr>
          <w:rFonts w:ascii="Arial" w:hAnsi="Arial" w:cs="Arial"/>
          <w:color w:val="000000"/>
          <w:sz w:val="20"/>
          <w:szCs w:val="20"/>
        </w:rPr>
        <w:t>.</w:t>
      </w:r>
    </w:p>
    <w:p w:rsidR="00662153" w:rsidRDefault="005F7770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W przypadku rezygnacji ze studiów, Słuchacz zobowiązany jest do pisemnego poinformowania o tym fakcie Uczelni w terminie 7 dni od zaprzestania uczestnictwa w zajęciach.</w:t>
      </w:r>
    </w:p>
    <w:p w:rsidR="00662153" w:rsidRDefault="005F7770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W przypadku nieusprawiedliwionych nieobecności na </w:t>
      </w:r>
      <w:r w:rsidRPr="005F7770">
        <w:rPr>
          <w:rFonts w:ascii="Arial" w:hAnsi="Arial" w:cs="Arial"/>
          <w:color w:val="000000" w:themeColor="text1"/>
          <w:sz w:val="20"/>
          <w:szCs w:val="20"/>
        </w:rPr>
        <w:t xml:space="preserve">zajęciach w ilości </w:t>
      </w:r>
      <w:r w:rsidR="00B378AC">
        <w:rPr>
          <w:rFonts w:ascii="Arial" w:hAnsi="Arial" w:cs="Arial"/>
          <w:color w:val="000000" w:themeColor="text1"/>
          <w:sz w:val="20"/>
          <w:szCs w:val="20"/>
        </w:rPr>
        <w:t>4</w:t>
      </w:r>
      <w:r w:rsidRPr="005F7770">
        <w:rPr>
          <w:rFonts w:ascii="Arial" w:hAnsi="Arial" w:cs="Arial"/>
          <w:color w:val="000000" w:themeColor="text1"/>
          <w:sz w:val="20"/>
          <w:szCs w:val="20"/>
        </w:rPr>
        <w:t>0% i/lub</w:t>
      </w:r>
      <w:r>
        <w:rPr>
          <w:rFonts w:ascii="Arial" w:hAnsi="Arial" w:cs="Arial"/>
          <w:color w:val="000000"/>
          <w:sz w:val="20"/>
          <w:szCs w:val="20"/>
        </w:rPr>
        <w:t xml:space="preserve"> nieprzystąpienia do egzaminów w wyznaczonym terminie, Kierownik Studiów Podyplomowych może podjąć decyzję o skreśleniu Słuchacza z listy słuchaczy.</w:t>
      </w:r>
    </w:p>
    <w:p w:rsidR="00662153" w:rsidRDefault="005F7770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662153">
        <w:rPr>
          <w:rFonts w:ascii="Arial" w:hAnsi="Arial" w:cs="Arial"/>
          <w:color w:val="000000"/>
          <w:sz w:val="20"/>
          <w:szCs w:val="20"/>
        </w:rPr>
        <w:t>. Warunkiem ukończenia studiów jest zaliczenie wszystkich egzaminów</w:t>
      </w:r>
      <w:r w:rsidR="00240F3C">
        <w:rPr>
          <w:rFonts w:ascii="Arial" w:hAnsi="Arial" w:cs="Arial"/>
          <w:color w:val="000000"/>
          <w:sz w:val="20"/>
          <w:szCs w:val="20"/>
        </w:rPr>
        <w:t xml:space="preserve"> cząstkowych 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</w:t>
      </w:r>
      <w:r w:rsidR="00240F3C">
        <w:rPr>
          <w:rFonts w:ascii="Arial" w:hAnsi="Arial" w:cs="Arial"/>
          <w:color w:val="000000"/>
          <w:sz w:val="20"/>
          <w:szCs w:val="20"/>
        </w:rPr>
        <w:t>oraz zaliczenie egzaminu końcowego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. Uczestnik ma prawo do </w:t>
      </w:r>
      <w:r w:rsidR="00240F3C">
        <w:rPr>
          <w:rFonts w:ascii="Arial" w:hAnsi="Arial" w:cs="Arial"/>
          <w:color w:val="000000"/>
          <w:sz w:val="20"/>
          <w:szCs w:val="20"/>
        </w:rPr>
        <w:t xml:space="preserve">poprawkowych 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egzaminów </w:t>
      </w:r>
      <w:r w:rsidR="00240F3C">
        <w:rPr>
          <w:rFonts w:ascii="Arial" w:hAnsi="Arial" w:cs="Arial"/>
          <w:color w:val="000000"/>
          <w:sz w:val="20"/>
          <w:szCs w:val="20"/>
        </w:rPr>
        <w:t>cząstkowych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, ale </w:t>
      </w:r>
      <w:r w:rsidR="00240F3C">
        <w:rPr>
          <w:rFonts w:ascii="Arial" w:hAnsi="Arial" w:cs="Arial"/>
          <w:color w:val="000000"/>
          <w:sz w:val="20"/>
          <w:szCs w:val="20"/>
        </w:rPr>
        <w:t>egzamin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</w:t>
      </w:r>
      <w:r w:rsidR="00240F3C">
        <w:rPr>
          <w:rFonts w:ascii="Arial" w:hAnsi="Arial" w:cs="Arial"/>
          <w:color w:val="000000"/>
          <w:sz w:val="20"/>
          <w:szCs w:val="20"/>
        </w:rPr>
        <w:t xml:space="preserve">końcowy można złożyć tylko raz, </w:t>
      </w:r>
      <w:r w:rsidR="00662153">
        <w:rPr>
          <w:rFonts w:ascii="Arial" w:hAnsi="Arial" w:cs="Arial"/>
          <w:color w:val="000000"/>
          <w:sz w:val="20"/>
          <w:szCs w:val="20"/>
        </w:rPr>
        <w:t>w wyznaczonym z góry terminie.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201EA" w:rsidRDefault="003201EA" w:rsidP="003201EA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§4</w:t>
      </w:r>
    </w:p>
    <w:p w:rsidR="003201EA" w:rsidRDefault="003201EA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201EA">
        <w:rPr>
          <w:rFonts w:ascii="Arial" w:hAnsi="Arial" w:cs="Arial"/>
          <w:color w:val="000000"/>
          <w:sz w:val="20"/>
          <w:szCs w:val="20"/>
          <w:lang w:val="pl-PL"/>
        </w:rPr>
        <w:t>1. Czesne wnoszone jest na rachunek bankowy wskazany na pie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rwszej stronie niniejszej umowy, 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>Zmiana numeru rachunku bankowego nie wymaga zmiany umowy. O zmianie numeru rachunku bankoweg</w:t>
      </w:r>
      <w:r>
        <w:rPr>
          <w:rFonts w:ascii="Arial" w:hAnsi="Arial" w:cs="Arial"/>
          <w:color w:val="000000"/>
          <w:sz w:val="20"/>
          <w:szCs w:val="20"/>
          <w:lang w:val="pl-PL"/>
        </w:rPr>
        <w:t>o Uczelnia zawiadamia słuchacza</w:t>
      </w:r>
      <w:r w:rsidR="00240F3C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201EA">
        <w:rPr>
          <w:rFonts w:ascii="Arial" w:hAnsi="Arial" w:cs="Arial"/>
          <w:color w:val="000000"/>
          <w:sz w:val="20"/>
          <w:szCs w:val="20"/>
          <w:lang w:val="pl-PL"/>
        </w:rPr>
        <w:t>2. Za datę dokonania opłaty uważa się datę uzn</w:t>
      </w:r>
      <w:r>
        <w:rPr>
          <w:rFonts w:ascii="Arial" w:hAnsi="Arial" w:cs="Arial"/>
          <w:color w:val="000000"/>
          <w:sz w:val="20"/>
          <w:szCs w:val="20"/>
          <w:lang w:val="pl-PL"/>
        </w:rPr>
        <w:t>ania rachunku bankowego Uczelni</w:t>
      </w:r>
      <w:r w:rsidR="00240F3C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201EA">
        <w:rPr>
          <w:rFonts w:ascii="Arial" w:hAnsi="Arial" w:cs="Arial"/>
          <w:color w:val="000000"/>
          <w:sz w:val="20"/>
          <w:szCs w:val="20"/>
          <w:lang w:val="pl-PL"/>
        </w:rPr>
        <w:t xml:space="preserve">3. Od nieterminowo wnoszonych opłat Uczelnia nalicza odsetki </w:t>
      </w:r>
      <w:r>
        <w:rPr>
          <w:rFonts w:ascii="Arial" w:hAnsi="Arial" w:cs="Arial"/>
          <w:color w:val="000000"/>
          <w:sz w:val="20"/>
          <w:szCs w:val="20"/>
          <w:lang w:val="pl-PL"/>
        </w:rPr>
        <w:t>ustawowe za opóźnienie</w:t>
      </w:r>
      <w:r w:rsidR="00240F3C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201EA">
        <w:rPr>
          <w:rFonts w:ascii="Arial" w:hAnsi="Arial" w:cs="Arial"/>
          <w:color w:val="000000"/>
          <w:sz w:val="20"/>
          <w:szCs w:val="20"/>
          <w:lang w:val="pl-PL"/>
        </w:rPr>
        <w:t>4. Słuchacz, na wezwanie Uczelni, jest zobowiązany do oka</w:t>
      </w:r>
      <w:r>
        <w:rPr>
          <w:rFonts w:ascii="Arial" w:hAnsi="Arial" w:cs="Arial"/>
          <w:color w:val="000000"/>
          <w:sz w:val="20"/>
          <w:szCs w:val="20"/>
          <w:lang w:val="pl-PL"/>
        </w:rPr>
        <w:t>zania dowodu wniesienia opłaty</w:t>
      </w:r>
      <w:r w:rsidR="00240F3C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201EA">
        <w:rPr>
          <w:rFonts w:ascii="Arial" w:hAnsi="Arial" w:cs="Arial"/>
          <w:color w:val="000000"/>
          <w:sz w:val="20"/>
          <w:szCs w:val="20"/>
          <w:lang w:val="pl-PL"/>
        </w:rPr>
        <w:lastRenderedPageBreak/>
        <w:t>5. Uczelnia nie odpowiada za następstwa błędnego zakwalifikowania wpłaty powstałe na skutek okoliczności leżących po stronie wpłacającego, w szczególności w wyniku wpisania niewłaściwego numeru rachunku bankoweg</w:t>
      </w:r>
      <w:r>
        <w:rPr>
          <w:rFonts w:ascii="Arial" w:hAnsi="Arial" w:cs="Arial"/>
          <w:color w:val="000000"/>
          <w:sz w:val="20"/>
          <w:szCs w:val="20"/>
          <w:lang w:val="pl-PL"/>
        </w:rPr>
        <w:t>o lub innych podobnych powodów</w:t>
      </w:r>
      <w:r w:rsidR="00B378AC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201EA">
        <w:rPr>
          <w:rFonts w:ascii="Arial" w:hAnsi="Arial" w:cs="Arial"/>
          <w:color w:val="000000"/>
          <w:sz w:val="20"/>
          <w:szCs w:val="20"/>
          <w:lang w:val="pl-PL"/>
        </w:rPr>
        <w:t>6. W przypadku n</w:t>
      </w:r>
      <w:r>
        <w:rPr>
          <w:rFonts w:ascii="Arial" w:hAnsi="Arial" w:cs="Arial"/>
          <w:color w:val="000000"/>
          <w:sz w:val="20"/>
          <w:szCs w:val="20"/>
          <w:lang w:val="pl-PL"/>
        </w:rPr>
        <w:t>iewniesienia opłaty w terminie Kierownik Studiów P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>odyplomowych pisemnie wzywa Słuchacza do jej uiszczenia w terminie 7 dni od dnia doręczenia wezwania do zapłaty, pod rygore</w:t>
      </w:r>
      <w:r w:rsidR="007A1644">
        <w:rPr>
          <w:rFonts w:ascii="Arial" w:hAnsi="Arial" w:cs="Arial"/>
          <w:color w:val="000000"/>
          <w:sz w:val="20"/>
          <w:szCs w:val="20"/>
          <w:lang w:val="pl-PL"/>
        </w:rPr>
        <w:t>m skreślenia z listy słuchaczy.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7.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 xml:space="preserve"> Słuchacz,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na umotywowany wniosek, 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>może ubiegać się o częściowe zwolnienie z opłaty za studia podyplomow</w:t>
      </w:r>
      <w:r>
        <w:rPr>
          <w:rFonts w:ascii="Arial" w:hAnsi="Arial" w:cs="Arial"/>
          <w:color w:val="000000"/>
          <w:sz w:val="20"/>
          <w:szCs w:val="20"/>
          <w:lang w:val="pl-PL"/>
        </w:rPr>
        <w:t>e albo o rozłożenie jej na raty. R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>ozłożenie na raty opłaty za pierwszy semestr studiów podyplomowych jest niedopuszczalne.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8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>. Słuchacz może domagać się zwrotu czesnego w całości w przypadku wypowiedzenia niniejszej Umowy przed rozpo</w:t>
      </w:r>
      <w:r>
        <w:rPr>
          <w:rFonts w:ascii="Arial" w:hAnsi="Arial" w:cs="Arial"/>
          <w:color w:val="000000"/>
          <w:sz w:val="20"/>
          <w:szCs w:val="20"/>
          <w:lang w:val="pl-PL"/>
        </w:rPr>
        <w:t>częciem studiów podyplomowych.</w:t>
      </w:r>
    </w:p>
    <w:p w:rsidR="003201EA" w:rsidRPr="002E1F9C" w:rsidRDefault="003201EA" w:rsidP="003201EA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9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 xml:space="preserve">. W przypadku wypowiedzenia umowy po rozpoczęciu zajęć lub skreślenia z listy słuchaczy, Słuchacz może ubiegać się – na jego pisemny wniosek zawierający aktualny numer konta bankowego – o zwrot części wniesionej opłaty w wysokości proporcjonalnej do nieodbytych zajęć </w:t>
      </w:r>
      <w:r w:rsidRPr="00B378AC">
        <w:rPr>
          <w:rFonts w:ascii="Arial" w:hAnsi="Arial" w:cs="Arial"/>
          <w:color w:val="000000" w:themeColor="text1"/>
          <w:sz w:val="20"/>
          <w:szCs w:val="20"/>
          <w:lang w:val="pl-PL"/>
        </w:rPr>
        <w:t>objętych planem studiów podyplomowych oraz ponoszonych w ramach studiów kosztów, licząc od dnia, w którym wypowiedział umowę lub został skreślony z listy słuchaczy. Rozstrzygnięcie w tej sprawie podejmuj</w:t>
      </w:r>
      <w:r w:rsidR="00B378AC" w:rsidRPr="00B378AC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e </w:t>
      </w:r>
      <w:r w:rsidR="00B7433D" w:rsidRPr="00B378AC">
        <w:rPr>
          <w:rFonts w:ascii="Arial" w:hAnsi="Arial" w:cs="Arial"/>
          <w:color w:val="000000" w:themeColor="text1"/>
          <w:sz w:val="20"/>
          <w:szCs w:val="20"/>
          <w:lang w:val="pl-PL"/>
        </w:rPr>
        <w:t>Dziekan</w:t>
      </w:r>
      <w:r w:rsidR="00B378AC">
        <w:rPr>
          <w:rFonts w:ascii="Arial" w:hAnsi="Arial" w:cs="Arial"/>
          <w:color w:val="000000" w:themeColor="text1"/>
          <w:sz w:val="20"/>
          <w:szCs w:val="20"/>
          <w:lang w:val="pl-PL"/>
        </w:rPr>
        <w:t>.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10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>.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Wniosek, o którym mowa w ust. 9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>, Słuchacz winien złożyć w sekretariacie jednostki pro</w:t>
      </w:r>
      <w:r>
        <w:rPr>
          <w:rFonts w:ascii="Arial" w:hAnsi="Arial" w:cs="Arial"/>
          <w:color w:val="000000"/>
          <w:sz w:val="20"/>
          <w:szCs w:val="20"/>
          <w:lang w:val="pl-PL"/>
        </w:rPr>
        <w:t>wadzącej studia podyplomowe</w:t>
      </w:r>
      <w:r w:rsidR="00B378AC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3201EA" w:rsidRP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 xml:space="preserve">11. 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>W przypadku wypowiedzenia umowy lub skreślenia z listy słuchaczy po rozpoczęciu nauczania i niewniesienia wymaganych opłat, Uczelnia wszczyna postępowanie windykacyjne, w którym dochodzi należności w wysokości proporcjonalnej do odbytych zajęć objętych planem studiów podyplomowych i ponoszonych przez Uczelnię kosztów.</w:t>
      </w:r>
    </w:p>
    <w:p w:rsidR="003201EA" w:rsidRDefault="003201EA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</w:t>
      </w:r>
      <w:r w:rsidR="003201EA">
        <w:rPr>
          <w:rFonts w:ascii="Arial" w:hAnsi="Arial" w:cs="Arial"/>
          <w:color w:val="000000"/>
          <w:sz w:val="20"/>
          <w:szCs w:val="20"/>
        </w:rPr>
        <w:t>5</w:t>
      </w: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pStyle w:val="Tekstpodstawowy"/>
        <w:tabs>
          <w:tab w:val="left" w:pos="284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Zmiany i uzupełnienia treści umowy wymagają formy pisemnej pod rygorem nieważności.</w:t>
      </w:r>
    </w:p>
    <w:p w:rsidR="00662153" w:rsidRDefault="00662153" w:rsidP="00662153">
      <w:pPr>
        <w:pStyle w:val="Tekstpodstawowy"/>
        <w:tabs>
          <w:tab w:val="left" w:pos="284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Umowa została sporządzona w dwóch jednobrzmiących egzemplarzach po jednym dla każdej</w:t>
      </w:r>
      <w:r>
        <w:rPr>
          <w:rFonts w:ascii="Arial" w:hAnsi="Arial" w:cs="Arial"/>
          <w:color w:val="000000"/>
          <w:sz w:val="20"/>
          <w:szCs w:val="20"/>
        </w:rPr>
        <w:br/>
        <w:t xml:space="preserve">ze stron. </w:t>
      </w:r>
    </w:p>
    <w:p w:rsidR="00662153" w:rsidRDefault="00662153" w:rsidP="00662153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</w:t>
      </w:r>
      <w:r w:rsidR="003201EA">
        <w:rPr>
          <w:rFonts w:ascii="Arial" w:hAnsi="Arial" w:cs="Arial"/>
          <w:color w:val="000000"/>
          <w:sz w:val="20"/>
          <w:szCs w:val="20"/>
        </w:rPr>
        <w:t>6</w:t>
      </w:r>
    </w:p>
    <w:p w:rsidR="00662153" w:rsidRDefault="00662153" w:rsidP="00662153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sprawach nie uregulowanych postanowieniami niniejszej umowy zastosowanie mają właściwe przepisy kodeksu cywilnego. </w:t>
      </w: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662153" w:rsidRPr="00B378AC" w:rsidRDefault="00662153" w:rsidP="00DE3752">
      <w:pPr>
        <w:pStyle w:val="Tekstpodstawowy"/>
        <w:spacing w:line="360" w:lineRule="auto"/>
        <w:ind w:firstLine="708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Podpis Słuchacza        </w:t>
      </w:r>
      <w:r w:rsidR="00DE3752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Podpis </w:t>
      </w:r>
      <w:r w:rsidR="00DE3752">
        <w:rPr>
          <w:rFonts w:ascii="Arial" w:hAnsi="Arial" w:cs="Arial"/>
          <w:b/>
          <w:bCs/>
          <w:color w:val="000000"/>
          <w:sz w:val="20"/>
          <w:szCs w:val="20"/>
        </w:rPr>
        <w:t>Dziekana Wydziału Nauk o Zdrowiu UMB</w:t>
      </w:r>
    </w:p>
    <w:p w:rsidR="00662153" w:rsidRPr="00064232" w:rsidRDefault="00662153" w:rsidP="00662153">
      <w:pPr>
        <w:spacing w:line="360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662153" w:rsidRPr="00064232" w:rsidRDefault="00662153" w:rsidP="00662153">
      <w:pPr>
        <w:spacing w:line="360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ectPr w:rsidR="00662153" w:rsidSect="004E0250">
          <w:headerReference w:type="default" r:id="rId8"/>
          <w:footerReference w:type="default" r:id="rId9"/>
          <w:pgSz w:w="11906" w:h="16838"/>
          <w:pgMar w:top="993" w:right="1196" w:bottom="1134" w:left="1410" w:header="709" w:footer="709" w:gutter="0"/>
          <w:cols w:space="708"/>
          <w:docGrid w:linePitch="600" w:charSpace="32768"/>
        </w:sectPr>
      </w:pPr>
    </w:p>
    <w:p w:rsidR="00662153" w:rsidRDefault="00B378AC" w:rsidP="00662153">
      <w:pPr>
        <w:pStyle w:val="Tekstpodstawowy"/>
        <w:spacing w:line="360" w:lineRule="auto"/>
        <w:jc w:val="right"/>
        <w:rPr>
          <w:color w:val="000000"/>
        </w:rPr>
      </w:pPr>
      <w:r>
        <w:rPr>
          <w:color w:val="000000"/>
        </w:rPr>
        <w:lastRenderedPageBreak/>
        <w:t>Załącznik nr 1</w:t>
      </w:r>
    </w:p>
    <w:p w:rsidR="00B378AC" w:rsidRDefault="00B378AC" w:rsidP="00B378AC">
      <w:pPr>
        <w:pStyle w:val="Tekstpodstawowy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003F6" w:rsidRDefault="00B378AC" w:rsidP="00B378AC">
      <w:pPr>
        <w:pStyle w:val="Tekstpodstawowy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Harmonogram studiów podyplomowych </w:t>
      </w:r>
    </w:p>
    <w:p w:rsidR="00B378AC" w:rsidRDefault="00B378AC" w:rsidP="00B378AC">
      <w:pPr>
        <w:pStyle w:val="Tekstpodstawowy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4003F6" w:rsidRPr="004003F6">
        <w:rPr>
          <w:rFonts w:ascii="Arial" w:hAnsi="Arial" w:cs="Arial"/>
          <w:b/>
          <w:bCs/>
          <w:color w:val="000000"/>
          <w:sz w:val="22"/>
          <w:szCs w:val="22"/>
        </w:rPr>
        <w:t>Interdyscyplinarna Opieka Psychogeriatryczn</w:t>
      </w:r>
      <w:r w:rsidR="004003F6">
        <w:rPr>
          <w:rFonts w:ascii="Arial" w:hAnsi="Arial" w:cs="Arial"/>
          <w:b/>
          <w:bCs/>
          <w:color w:val="000000"/>
          <w:sz w:val="22"/>
          <w:szCs w:val="22"/>
        </w:rPr>
        <w:t>a</w:t>
      </w:r>
      <w:r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:rsidR="00B378AC" w:rsidRDefault="00B378AC" w:rsidP="00B378AC">
      <w:pPr>
        <w:pStyle w:val="Tekstpodstawowy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378AC" w:rsidRDefault="00B378AC" w:rsidP="00B378AC">
      <w:pPr>
        <w:pStyle w:val="Tekstpodstawowy"/>
        <w:keepLines/>
        <w:spacing w:line="300" w:lineRule="atLeast"/>
      </w:pPr>
    </w:p>
    <w:tbl>
      <w:tblPr>
        <w:tblW w:w="9357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3"/>
        <w:gridCol w:w="1377"/>
        <w:gridCol w:w="6797"/>
      </w:tblGrid>
      <w:tr w:rsidR="00B378AC" w:rsidTr="00557551">
        <w:tc>
          <w:tcPr>
            <w:tcW w:w="11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top w:val="single" w:sz="8" w:space="1" w:color="000000"/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rPr>
                <w:rStyle w:val="Pogrubienie"/>
                <w:color w:val="000000"/>
              </w:rPr>
            </w:pPr>
            <w:r>
              <w:rPr>
                <w:rStyle w:val="Pogrubienie"/>
                <w:color w:val="000000"/>
              </w:rPr>
              <w:t>ZJAZD</w:t>
            </w:r>
          </w:p>
        </w:tc>
        <w:tc>
          <w:tcPr>
            <w:tcW w:w="1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rPr>
                <w:rStyle w:val="Pogrubienie"/>
                <w:color w:val="000000"/>
              </w:rPr>
            </w:pPr>
            <w:r>
              <w:rPr>
                <w:rStyle w:val="Pogrubienie"/>
                <w:color w:val="000000"/>
              </w:rPr>
              <w:t>DATA</w:t>
            </w:r>
          </w:p>
        </w:tc>
        <w:tc>
          <w:tcPr>
            <w:tcW w:w="67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</w:pPr>
            <w:r>
              <w:rPr>
                <w:rStyle w:val="Pogrubienie"/>
                <w:color w:val="000000"/>
              </w:rPr>
              <w:t>REALIZOWANE PRZEDMIOTY</w:t>
            </w:r>
          </w:p>
        </w:tc>
      </w:tr>
      <w:tr w:rsidR="00B378AC" w:rsidTr="00557551">
        <w:tc>
          <w:tcPr>
            <w:tcW w:w="11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  <w:r>
              <w:rPr>
                <w:rStyle w:val="Pogrubienie"/>
                <w:color w:val="000000"/>
              </w:rPr>
              <w:t>1</w:t>
            </w:r>
          </w:p>
        </w:tc>
        <w:tc>
          <w:tcPr>
            <w:tcW w:w="1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</w:p>
        </w:tc>
        <w:tc>
          <w:tcPr>
            <w:tcW w:w="679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</w:pPr>
          </w:p>
        </w:tc>
      </w:tr>
      <w:tr w:rsidR="00B378AC" w:rsidTr="00557551">
        <w:tc>
          <w:tcPr>
            <w:tcW w:w="11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  <w:r>
              <w:rPr>
                <w:rStyle w:val="Pogrubienie"/>
                <w:color w:val="000000"/>
              </w:rPr>
              <w:t>2</w:t>
            </w:r>
          </w:p>
        </w:tc>
        <w:tc>
          <w:tcPr>
            <w:tcW w:w="1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</w:p>
        </w:tc>
        <w:tc>
          <w:tcPr>
            <w:tcW w:w="679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</w:pPr>
          </w:p>
        </w:tc>
      </w:tr>
      <w:tr w:rsidR="00B378AC" w:rsidTr="00557551">
        <w:tc>
          <w:tcPr>
            <w:tcW w:w="11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  <w:r>
              <w:rPr>
                <w:rStyle w:val="Pogrubienie"/>
                <w:color w:val="000000"/>
              </w:rPr>
              <w:t>3</w:t>
            </w:r>
          </w:p>
        </w:tc>
        <w:tc>
          <w:tcPr>
            <w:tcW w:w="1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</w:p>
        </w:tc>
        <w:tc>
          <w:tcPr>
            <w:tcW w:w="679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</w:pPr>
          </w:p>
        </w:tc>
      </w:tr>
      <w:tr w:rsidR="00B378AC" w:rsidTr="00557551">
        <w:tc>
          <w:tcPr>
            <w:tcW w:w="11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  <w:r>
              <w:rPr>
                <w:rStyle w:val="Pogrubienie"/>
                <w:color w:val="000000"/>
              </w:rPr>
              <w:t>4</w:t>
            </w:r>
          </w:p>
        </w:tc>
        <w:tc>
          <w:tcPr>
            <w:tcW w:w="1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</w:p>
        </w:tc>
        <w:tc>
          <w:tcPr>
            <w:tcW w:w="679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</w:pPr>
          </w:p>
        </w:tc>
      </w:tr>
      <w:tr w:rsidR="00B378AC" w:rsidTr="00557551">
        <w:tc>
          <w:tcPr>
            <w:tcW w:w="11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  <w:r>
              <w:rPr>
                <w:rStyle w:val="Pogrubienie"/>
                <w:color w:val="000000"/>
              </w:rPr>
              <w:t>...</w:t>
            </w:r>
          </w:p>
        </w:tc>
        <w:tc>
          <w:tcPr>
            <w:tcW w:w="1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</w:p>
        </w:tc>
        <w:tc>
          <w:tcPr>
            <w:tcW w:w="679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</w:pPr>
          </w:p>
        </w:tc>
      </w:tr>
    </w:tbl>
    <w:p w:rsidR="00B378AC" w:rsidRDefault="00B378AC" w:rsidP="00B378AC">
      <w:pPr>
        <w:pStyle w:val="Tekstpodstawowy"/>
        <w:spacing w:line="300" w:lineRule="atLeast"/>
        <w:rPr>
          <w:color w:val="000000"/>
        </w:rPr>
      </w:pPr>
    </w:p>
    <w:p w:rsidR="006774C1" w:rsidRPr="00B378AC" w:rsidRDefault="00B378AC" w:rsidP="00B378AC">
      <w:pPr>
        <w:pStyle w:val="Tekstpodstawowy"/>
        <w:spacing w:line="300" w:lineRule="atLeast"/>
        <w:rPr>
          <w:b/>
          <w:bCs/>
          <w:color w:val="000000"/>
        </w:rPr>
      </w:pPr>
      <w:r>
        <w:rPr>
          <w:color w:val="000000"/>
        </w:rPr>
        <w:t>Dodatkowo odbędą się 2 zjazdy egzaminacyjne oraz 1 sesja poprawkowa.</w:t>
      </w:r>
    </w:p>
    <w:sectPr w:rsidR="006774C1" w:rsidRPr="00B378AC" w:rsidSect="00B3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B5C" w:rsidRDefault="00032B5C" w:rsidP="00662153">
      <w:r>
        <w:separator/>
      </w:r>
    </w:p>
  </w:endnote>
  <w:endnote w:type="continuationSeparator" w:id="0">
    <w:p w:rsidR="00032B5C" w:rsidRDefault="00032B5C" w:rsidP="0066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B9" w:rsidRDefault="00B363B9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B5C" w:rsidRDefault="00032B5C" w:rsidP="00662153">
      <w:r>
        <w:separator/>
      </w:r>
    </w:p>
  </w:footnote>
  <w:footnote w:type="continuationSeparator" w:id="0">
    <w:p w:rsidR="00032B5C" w:rsidRDefault="00032B5C" w:rsidP="00662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B9" w:rsidRDefault="00CD32CD">
    <w:pPr>
      <w:pStyle w:val="Nagwek"/>
    </w:pPr>
    <w:r>
      <w:t xml:space="preserve">                                             </w:t>
    </w:r>
  </w:p>
  <w:p w:rsidR="00B363B9" w:rsidRDefault="00B363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hAnsi="Arial" w:cs="Arial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3"/>
    <w:rsid w:val="00032B5C"/>
    <w:rsid w:val="00064232"/>
    <w:rsid w:val="000A1DF9"/>
    <w:rsid w:val="00104FF5"/>
    <w:rsid w:val="001E11B1"/>
    <w:rsid w:val="00240F3C"/>
    <w:rsid w:val="002A179B"/>
    <w:rsid w:val="002E1F9C"/>
    <w:rsid w:val="003201EA"/>
    <w:rsid w:val="003A7462"/>
    <w:rsid w:val="004003F6"/>
    <w:rsid w:val="004563BA"/>
    <w:rsid w:val="004E0250"/>
    <w:rsid w:val="005F7770"/>
    <w:rsid w:val="00662153"/>
    <w:rsid w:val="006774C1"/>
    <w:rsid w:val="0069516C"/>
    <w:rsid w:val="007A1644"/>
    <w:rsid w:val="007A52B1"/>
    <w:rsid w:val="007B62C2"/>
    <w:rsid w:val="007D785A"/>
    <w:rsid w:val="008F1AF3"/>
    <w:rsid w:val="00990EAA"/>
    <w:rsid w:val="00A2117E"/>
    <w:rsid w:val="00A47B23"/>
    <w:rsid w:val="00AE2176"/>
    <w:rsid w:val="00B243BB"/>
    <w:rsid w:val="00B259C5"/>
    <w:rsid w:val="00B363B9"/>
    <w:rsid w:val="00B37281"/>
    <w:rsid w:val="00B378AC"/>
    <w:rsid w:val="00B7433D"/>
    <w:rsid w:val="00B928B0"/>
    <w:rsid w:val="00C520EE"/>
    <w:rsid w:val="00CD32CD"/>
    <w:rsid w:val="00D5031F"/>
    <w:rsid w:val="00DD1169"/>
    <w:rsid w:val="00DE3752"/>
    <w:rsid w:val="00E6023D"/>
    <w:rsid w:val="00E63BA7"/>
    <w:rsid w:val="00F17537"/>
    <w:rsid w:val="00F27E64"/>
    <w:rsid w:val="00F40F81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5FEBA-02E2-4172-BB15-2C4A57E8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1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2153"/>
    <w:rPr>
      <w:color w:val="0000FF"/>
      <w:u w:val="single"/>
    </w:rPr>
  </w:style>
  <w:style w:type="character" w:styleId="Pogrubienie">
    <w:name w:val="Strong"/>
    <w:qFormat/>
    <w:rsid w:val="00662153"/>
    <w:rPr>
      <w:b/>
      <w:bCs/>
    </w:rPr>
  </w:style>
  <w:style w:type="paragraph" w:styleId="Tekstpodstawowy">
    <w:name w:val="Body Text"/>
    <w:basedOn w:val="Normalny"/>
    <w:link w:val="TekstpodstawowyZnak"/>
    <w:rsid w:val="00662153"/>
    <w:pPr>
      <w:jc w:val="both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6621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62153"/>
  </w:style>
  <w:style w:type="character" w:customStyle="1" w:styleId="NagwekZnak">
    <w:name w:val="Nagłówek Znak"/>
    <w:basedOn w:val="Domylnaczcionkaakapitu"/>
    <w:link w:val="Nagwek"/>
    <w:rsid w:val="00662153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customStyle="1" w:styleId="TableContents">
    <w:name w:val="Table Contents"/>
    <w:basedOn w:val="Normalny"/>
    <w:rsid w:val="00662153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7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2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281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281"/>
    <w:rPr>
      <w:rFonts w:ascii="Times New Roman" w:eastAsia="Times New Roman" w:hAnsi="Times New Roman" w:cs="Times New Roman"/>
      <w:b/>
      <w:bCs/>
      <w:sz w:val="20"/>
      <w:szCs w:val="20"/>
      <w:lang w:val="fr-FR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2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281"/>
    <w:rPr>
      <w:rFonts w:ascii="Tahoma" w:eastAsia="Times New Roman" w:hAnsi="Tahoma" w:cs="Tahoma"/>
      <w:sz w:val="16"/>
      <w:szCs w:val="16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B32F5-159B-4C92-ABFF-8D3D054F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Pawłowski</dc:creator>
  <cp:lastModifiedBy>Agnieszka</cp:lastModifiedBy>
  <cp:revision>2</cp:revision>
  <cp:lastPrinted>2015-06-26T08:57:00Z</cp:lastPrinted>
  <dcterms:created xsi:type="dcterms:W3CDTF">2016-03-31T09:23:00Z</dcterms:created>
  <dcterms:modified xsi:type="dcterms:W3CDTF">2016-03-31T09:23:00Z</dcterms:modified>
</cp:coreProperties>
</file>